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F3870" w14:textId="2DE50A48" w:rsidR="001C4B93" w:rsidRPr="005A649D" w:rsidRDefault="001C4B93" w:rsidP="001C4B93">
      <w:pPr>
        <w:pStyle w:val="Header"/>
        <w:tabs>
          <w:tab w:val="right" w:pos="9638"/>
        </w:tabs>
        <w:ind w:right="-57"/>
        <w:rPr>
          <w:rFonts w:eastAsia="Arial Unicode MS" w:cs="Arial"/>
          <w:b w:val="0"/>
          <w:bCs/>
          <w:sz w:val="24"/>
        </w:rPr>
      </w:pPr>
      <w:r w:rsidRPr="00E01E14">
        <w:rPr>
          <w:rFonts w:eastAsia="Arial Unicode MS" w:cs="Arial"/>
          <w:bCs/>
          <w:sz w:val="24"/>
        </w:rPr>
        <w:t>3</w:t>
      </w:r>
      <w:r w:rsidRPr="005A649D">
        <w:rPr>
          <w:rFonts w:eastAsia="Arial Unicode MS" w:cs="Arial"/>
          <w:bCs/>
          <w:sz w:val="24"/>
        </w:rPr>
        <w:t>GPP TSG-WG SA2 Meeting</w:t>
      </w:r>
      <w:r w:rsidR="00D87E47">
        <w:rPr>
          <w:rFonts w:eastAsia="Arial Unicode MS" w:cs="Arial"/>
          <w:bCs/>
          <w:sz w:val="24"/>
        </w:rPr>
        <w:t xml:space="preserve"> #1</w:t>
      </w:r>
      <w:r w:rsidR="007C5D32">
        <w:rPr>
          <w:rFonts w:eastAsia="Arial Unicode MS" w:cs="Arial"/>
          <w:bCs/>
          <w:sz w:val="24"/>
        </w:rPr>
        <w:t>60</w:t>
      </w:r>
      <w:r w:rsidRPr="005A649D">
        <w:rPr>
          <w:rFonts w:eastAsia="Arial Unicode MS" w:cs="Arial"/>
          <w:bCs/>
          <w:sz w:val="24"/>
        </w:rPr>
        <w:tab/>
      </w:r>
      <w:r w:rsidR="00D87E47">
        <w:rPr>
          <w:rFonts w:eastAsia="宋体"/>
          <w:i/>
          <w:sz w:val="28"/>
          <w:lang w:eastAsia="en-US"/>
        </w:rPr>
        <w:t>S2-23</w:t>
      </w:r>
      <w:r w:rsidR="005A0519">
        <w:rPr>
          <w:rFonts w:eastAsia="宋体"/>
          <w:i/>
          <w:sz w:val="28"/>
          <w:lang w:eastAsia="en-US"/>
        </w:rPr>
        <w:t>12127</w:t>
      </w:r>
    </w:p>
    <w:p w14:paraId="37750D69" w14:textId="45C8AA47" w:rsidR="001C4B93" w:rsidRPr="005A649D" w:rsidRDefault="007C5D32" w:rsidP="001C4B93">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Chicago</w:t>
      </w:r>
      <w:r w:rsidR="00D87E47" w:rsidRPr="00D87E47">
        <w:rPr>
          <w:rFonts w:eastAsia="Arial Unicode MS" w:cs="Arial"/>
          <w:bCs/>
          <w:sz w:val="24"/>
        </w:rPr>
        <w:t xml:space="preserve">, </w:t>
      </w:r>
      <w:r>
        <w:rPr>
          <w:rFonts w:eastAsia="Arial Unicode MS" w:cs="Arial"/>
          <w:bCs/>
          <w:sz w:val="24"/>
        </w:rPr>
        <w:t>USA</w:t>
      </w:r>
      <w:r w:rsidR="00D87E47" w:rsidRPr="00D87E47">
        <w:rPr>
          <w:rFonts w:eastAsia="Arial Unicode MS" w:cs="Arial"/>
          <w:bCs/>
          <w:sz w:val="24"/>
        </w:rPr>
        <w:t xml:space="preserve">, </w:t>
      </w:r>
      <w:r>
        <w:rPr>
          <w:rFonts w:eastAsia="Arial Unicode MS" w:cs="Arial"/>
          <w:bCs/>
          <w:sz w:val="24"/>
        </w:rPr>
        <w:t>November</w:t>
      </w:r>
      <w:r w:rsidR="00D87E47" w:rsidRPr="00D87E47">
        <w:rPr>
          <w:rFonts w:eastAsia="Arial Unicode MS" w:cs="Arial"/>
          <w:bCs/>
          <w:sz w:val="24"/>
        </w:rPr>
        <w:t xml:space="preserve"> </w:t>
      </w:r>
      <w:r>
        <w:rPr>
          <w:rFonts w:eastAsia="Arial Unicode MS" w:cs="Arial"/>
          <w:bCs/>
          <w:sz w:val="24"/>
        </w:rPr>
        <w:t>13</w:t>
      </w:r>
      <w:r w:rsidR="00D87E47" w:rsidRPr="00D87E47">
        <w:rPr>
          <w:rFonts w:eastAsia="Arial Unicode MS" w:cs="Arial"/>
          <w:bCs/>
          <w:sz w:val="24"/>
        </w:rPr>
        <w:t xml:space="preserve"> – 1</w:t>
      </w:r>
      <w:r>
        <w:rPr>
          <w:rFonts w:eastAsia="Arial Unicode MS" w:cs="Arial"/>
          <w:bCs/>
          <w:sz w:val="24"/>
        </w:rPr>
        <w:t>7</w:t>
      </w:r>
      <w:r w:rsidR="00D87E47" w:rsidRPr="00D87E47">
        <w:rPr>
          <w:rFonts w:eastAsia="Arial Unicode MS" w:cs="Arial"/>
          <w:bCs/>
          <w:sz w:val="24"/>
        </w:rPr>
        <w:t>, 2023</w:t>
      </w:r>
      <w:r w:rsidR="001C4B93" w:rsidRPr="005A649D">
        <w:rPr>
          <w:rFonts w:eastAsia="Arial Unicode MS" w:cs="Arial"/>
          <w:bCs/>
        </w:rPr>
        <w:tab/>
      </w:r>
    </w:p>
    <w:p w14:paraId="20903E20" w14:textId="77777777" w:rsidR="001C4B93" w:rsidRPr="005A649D" w:rsidRDefault="001C4B93" w:rsidP="001C4B93">
      <w:pPr>
        <w:rPr>
          <w:rFonts w:ascii="Arial" w:hAnsi="Arial" w:cs="Arial"/>
        </w:rPr>
      </w:pPr>
    </w:p>
    <w:p w14:paraId="58AC2851" w14:textId="7ED352E7" w:rsidR="001C4B93" w:rsidRPr="005A649D" w:rsidRDefault="001C4B93" w:rsidP="00CF7C00">
      <w:pPr>
        <w:rPr>
          <w:rFonts w:ascii="Arial" w:hAnsi="Arial" w:cs="Arial"/>
          <w:b/>
          <w:lang w:eastAsia="zh-CN"/>
        </w:rPr>
      </w:pPr>
      <w:r w:rsidRPr="005A649D">
        <w:rPr>
          <w:rFonts w:ascii="Arial" w:hAnsi="Arial" w:cs="Arial"/>
          <w:b/>
        </w:rPr>
        <w:t>Source:</w:t>
      </w:r>
      <w:r w:rsidRPr="005A649D">
        <w:rPr>
          <w:rFonts w:ascii="Arial" w:hAnsi="Arial" w:cs="Arial"/>
          <w:b/>
        </w:rPr>
        <w:tab/>
      </w:r>
      <w:r w:rsidR="00953664">
        <w:rPr>
          <w:rFonts w:ascii="Arial" w:hAnsi="Arial" w:cs="Arial"/>
          <w:b/>
        </w:rPr>
        <w:tab/>
      </w:r>
      <w:r w:rsidR="007C5D32">
        <w:rPr>
          <w:rFonts w:ascii="Arial" w:hAnsi="Arial" w:cs="Arial"/>
          <w:b/>
          <w:lang w:eastAsia="zh-CN"/>
        </w:rPr>
        <w:t>vivo</w:t>
      </w:r>
    </w:p>
    <w:p w14:paraId="5F938B55" w14:textId="76BA6803" w:rsidR="001C4B93" w:rsidRPr="00130CE1" w:rsidRDefault="001C4B93" w:rsidP="001C4B93">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sidR="00CF7C00">
        <w:rPr>
          <w:rFonts w:ascii="Arial" w:hAnsi="Arial" w:cs="Arial"/>
          <w:b/>
        </w:rPr>
        <w:t xml:space="preserve">Discussion Paper: </w:t>
      </w:r>
      <w:r w:rsidR="007C5D32" w:rsidRPr="007C5D32">
        <w:rPr>
          <w:rFonts w:ascii="Arial" w:hAnsi="Arial" w:cs="Arial"/>
          <w:b/>
        </w:rPr>
        <w:t>5GC Support of IoT NTN</w:t>
      </w:r>
    </w:p>
    <w:p w14:paraId="3A5528E6" w14:textId="5ECFFD5C" w:rsidR="001C4B93" w:rsidRPr="00CF7C00" w:rsidRDefault="001C4B93" w:rsidP="001C4B93">
      <w:pPr>
        <w:ind w:left="2127" w:hanging="2127"/>
        <w:rPr>
          <w:rFonts w:ascii="Arial" w:eastAsia="MS Gothic" w:hAnsi="Arial" w:cs="Arial"/>
          <w:b/>
        </w:rPr>
      </w:pPr>
      <w:r w:rsidRPr="005A649D">
        <w:rPr>
          <w:rFonts w:ascii="Arial" w:hAnsi="Arial" w:cs="Arial"/>
          <w:b/>
        </w:rPr>
        <w:t>Document for:</w:t>
      </w:r>
      <w:r w:rsidRPr="005A649D">
        <w:rPr>
          <w:rFonts w:ascii="Arial" w:hAnsi="Arial" w:cs="Arial"/>
          <w:b/>
        </w:rPr>
        <w:tab/>
      </w:r>
      <w:r w:rsidR="002373BF">
        <w:rPr>
          <w:rFonts w:ascii="Arial" w:hAnsi="Arial" w:cs="Arial"/>
          <w:b/>
        </w:rPr>
        <w:t>Discussion &amp; Information</w:t>
      </w:r>
    </w:p>
    <w:p w14:paraId="700EE468" w14:textId="5D643BAA" w:rsidR="001C4B93" w:rsidRPr="005A649D" w:rsidRDefault="001C4B93" w:rsidP="001C4B93">
      <w:pPr>
        <w:ind w:left="2127" w:hanging="2127"/>
        <w:rPr>
          <w:rFonts w:ascii="Arial" w:hAnsi="Arial" w:cs="Arial"/>
          <w:b/>
        </w:rPr>
      </w:pPr>
      <w:r w:rsidRPr="005A649D">
        <w:rPr>
          <w:rFonts w:ascii="Arial" w:hAnsi="Arial" w:cs="Arial"/>
          <w:b/>
        </w:rPr>
        <w:t>Agenda Item:</w:t>
      </w:r>
      <w:r w:rsidRPr="005A649D">
        <w:rPr>
          <w:rFonts w:ascii="Arial" w:hAnsi="Arial" w:cs="Arial"/>
          <w:b/>
        </w:rPr>
        <w:tab/>
      </w:r>
      <w:r w:rsidR="002373BF">
        <w:rPr>
          <w:rFonts w:ascii="Arial" w:hAnsi="Arial" w:cs="Arial"/>
          <w:b/>
        </w:rPr>
        <w:t>30</w:t>
      </w:r>
      <w:r w:rsidR="00B77182">
        <w:rPr>
          <w:rFonts w:ascii="Arial" w:hAnsi="Arial" w:cs="Arial"/>
          <w:b/>
        </w:rPr>
        <w:t>.</w:t>
      </w:r>
      <w:r w:rsidR="007C5D32">
        <w:rPr>
          <w:rFonts w:ascii="Arial" w:hAnsi="Arial" w:cs="Arial"/>
          <w:b/>
        </w:rPr>
        <w:t>2</w:t>
      </w:r>
    </w:p>
    <w:p w14:paraId="065D565B" w14:textId="53A8284F" w:rsidR="001C4B93" w:rsidRPr="005A649D" w:rsidRDefault="001C4B93" w:rsidP="001C4B93">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sidR="007C5D32">
        <w:rPr>
          <w:rFonts w:ascii="Arial" w:hAnsi="Arial" w:cs="Arial"/>
          <w:b/>
        </w:rPr>
        <w:t>TEI</w:t>
      </w:r>
      <w:r w:rsidR="00B77182">
        <w:rPr>
          <w:rFonts w:ascii="Arial" w:hAnsi="Arial" w:cs="Arial"/>
          <w:b/>
        </w:rPr>
        <w:t xml:space="preserve"> / Rel-19</w:t>
      </w:r>
    </w:p>
    <w:p w14:paraId="39D1F9A3" w14:textId="4B532313" w:rsidR="001C4B93" w:rsidRPr="00927C1B" w:rsidRDefault="001C4B93" w:rsidP="001C4B93">
      <w:pPr>
        <w:jc w:val="both"/>
        <w:rPr>
          <w:rFonts w:ascii="Arial" w:hAnsi="Arial" w:cs="Arial"/>
          <w:i/>
          <w:lang w:eastAsia="zh-CN"/>
        </w:rPr>
      </w:pPr>
      <w:r w:rsidRPr="005A649D">
        <w:rPr>
          <w:rFonts w:ascii="Arial" w:hAnsi="Arial" w:cs="Arial"/>
          <w:i/>
        </w:rPr>
        <w:t xml:space="preserve">Abstract: </w:t>
      </w:r>
      <w:r w:rsidR="004E05E1" w:rsidRPr="004E05E1">
        <w:rPr>
          <w:rFonts w:ascii="Arial" w:hAnsi="Arial" w:cs="Arial"/>
          <w:i/>
        </w:rPr>
        <w:t xml:space="preserve">Proposes </w:t>
      </w:r>
      <w:r w:rsidR="00B77182">
        <w:rPr>
          <w:rFonts w:ascii="Arial" w:hAnsi="Arial" w:cs="Arial"/>
          <w:i/>
        </w:rPr>
        <w:t xml:space="preserve">to </w:t>
      </w:r>
      <w:r w:rsidR="007C5D32" w:rsidRPr="007C5D32">
        <w:rPr>
          <w:rFonts w:ascii="Arial" w:hAnsi="Arial" w:cs="Arial"/>
          <w:i/>
        </w:rPr>
        <w:t>include 5GC support of IoT NTN as a Rel-19 TEI</w:t>
      </w:r>
      <w:r w:rsidR="004E05E1" w:rsidRPr="004E05E1">
        <w:rPr>
          <w:rFonts w:ascii="Arial" w:hAnsi="Arial" w:cs="Arial"/>
          <w:i/>
        </w:rPr>
        <w:t>.</w:t>
      </w:r>
    </w:p>
    <w:p w14:paraId="6F62503F" w14:textId="6FDDF798" w:rsidR="001C4B93" w:rsidRDefault="001C4B93" w:rsidP="00CF7C00">
      <w:pPr>
        <w:pStyle w:val="Heading1"/>
        <w:numPr>
          <w:ilvl w:val="0"/>
          <w:numId w:val="11"/>
        </w:numPr>
      </w:pPr>
      <w:r w:rsidRPr="005A649D">
        <w:t>Introduction</w:t>
      </w:r>
    </w:p>
    <w:p w14:paraId="0133DA46" w14:textId="77777777" w:rsidR="007C5D32" w:rsidRPr="00E97765" w:rsidRDefault="007C5D32" w:rsidP="007C5D32">
      <w:r w:rsidRPr="00E97765">
        <w:t>As the IoT continues its rapid expansion, it becomes increasingly vital to bridge the gap between IoT NTN and the 5GC to fully unlock the potential of 5G technology. Currently, there exist two distinct architectural approaches to satellite access within the 5G framework, as illustrated in Fig.1: one involves the IoT NTN architecture with the EPC, while the other revolves around the NR NTN architecture with the 5GC.</w:t>
      </w:r>
    </w:p>
    <w:p w14:paraId="3D4953C5" w14:textId="2E3F4DB1" w:rsidR="007C5D32" w:rsidRPr="00E97765" w:rsidRDefault="001504BD" w:rsidP="007C0183">
      <w:pPr>
        <w:jc w:val="center"/>
        <w:rPr>
          <w:b/>
          <w:bCs/>
        </w:rPr>
      </w:pPr>
      <w:r>
        <w:object w:dxaOrig="10980" w:dyaOrig="3900" w14:anchorId="25B98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3pt;height:114.85pt" o:ole="">
            <v:imagedata r:id="rId8" o:title=""/>
          </v:shape>
          <o:OLEObject Type="Embed" ProgID="Visio.Drawing.15" ShapeID="_x0000_i1025" DrawAspect="Content" ObjectID="_1760529583" r:id="rId9"/>
        </w:object>
      </w:r>
    </w:p>
    <w:p w14:paraId="411F8A14" w14:textId="77777777" w:rsidR="007C5D32" w:rsidRPr="00E97765" w:rsidRDefault="007C5D32" w:rsidP="007C0183">
      <w:pPr>
        <w:jc w:val="center"/>
        <w:rPr>
          <w:b/>
          <w:bCs/>
        </w:rPr>
      </w:pPr>
      <w:r w:rsidRPr="00E97765">
        <w:rPr>
          <w:b/>
          <w:bCs/>
        </w:rPr>
        <w:t>Fig.1: 2 separate satellite access integration architecture</w:t>
      </w:r>
    </w:p>
    <w:p w14:paraId="7200FA94" w14:textId="77777777" w:rsidR="007C5D32" w:rsidRPr="00E97765" w:rsidRDefault="007C5D32" w:rsidP="007C5D32">
      <w:r w:rsidRPr="00E97765">
        <w:t>From a market perspective, consolidating into a single core network, i.e., the 5GC, can bring several benefits. It simplifies operator management, reduces both capital expenditures (CAPEX) and operating expenditures (OPEX), and widens the scope of service offerings through satellite connectivity. The considered architecture is shown in Fig.2.</w:t>
      </w:r>
    </w:p>
    <w:p w14:paraId="2A99ED63" w14:textId="77777777" w:rsidR="007C5D32" w:rsidRPr="007C5D32" w:rsidRDefault="007C5D32" w:rsidP="007C5D32">
      <w:pPr>
        <w:pStyle w:val="ListParagraph"/>
        <w:numPr>
          <w:ilvl w:val="0"/>
          <w:numId w:val="13"/>
        </w:numPr>
        <w:rPr>
          <w:b w:val="0"/>
          <w:bCs w:val="0"/>
          <w:color w:val="000000"/>
          <w:sz w:val="20"/>
          <w:szCs w:val="20"/>
          <w:u w:val="none"/>
          <w:lang w:val="en-GB" w:eastAsia="ja-JP"/>
        </w:rPr>
      </w:pPr>
      <w:r w:rsidRPr="007C5D32">
        <w:rPr>
          <w:b w:val="0"/>
          <w:bCs w:val="0"/>
          <w:color w:val="000000"/>
          <w:sz w:val="20"/>
          <w:szCs w:val="20"/>
          <w:u w:val="none"/>
          <w:lang w:val="en-GB" w:eastAsia="ja-JP"/>
        </w:rPr>
        <w:t>From terminal’s perspective, R16 defined cellular IoT device already supports 5G NAS.</w:t>
      </w:r>
    </w:p>
    <w:p w14:paraId="6E34BEE9" w14:textId="376BBE17" w:rsidR="007C5D32" w:rsidRPr="007C5D32" w:rsidRDefault="007C5D32" w:rsidP="007C5D32">
      <w:pPr>
        <w:pStyle w:val="ListParagraph"/>
        <w:numPr>
          <w:ilvl w:val="0"/>
          <w:numId w:val="13"/>
        </w:numPr>
        <w:rPr>
          <w:b w:val="0"/>
          <w:bCs w:val="0"/>
          <w:color w:val="000000"/>
          <w:sz w:val="20"/>
          <w:szCs w:val="20"/>
          <w:u w:val="none"/>
          <w:lang w:val="en-GB" w:eastAsia="ja-JP"/>
        </w:rPr>
      </w:pPr>
      <w:r w:rsidRPr="007C5D32">
        <w:rPr>
          <w:b w:val="0"/>
          <w:bCs w:val="0"/>
          <w:color w:val="000000"/>
          <w:sz w:val="20"/>
          <w:szCs w:val="20"/>
          <w:u w:val="none"/>
          <w:lang w:val="en-GB" w:eastAsia="ja-JP"/>
        </w:rPr>
        <w:t xml:space="preserve">From </w:t>
      </w:r>
      <w:proofErr w:type="spellStart"/>
      <w:r w:rsidRPr="007C5D32">
        <w:rPr>
          <w:b w:val="0"/>
          <w:bCs w:val="0"/>
          <w:color w:val="000000"/>
          <w:sz w:val="20"/>
          <w:szCs w:val="20"/>
          <w:u w:val="none"/>
          <w:lang w:val="en-GB" w:eastAsia="ja-JP"/>
        </w:rPr>
        <w:t>eNB’s</w:t>
      </w:r>
      <w:proofErr w:type="spellEnd"/>
      <w:r w:rsidRPr="007C5D32">
        <w:rPr>
          <w:b w:val="0"/>
          <w:bCs w:val="0"/>
          <w:color w:val="000000"/>
          <w:sz w:val="20"/>
          <w:szCs w:val="20"/>
          <w:u w:val="none"/>
          <w:lang w:val="en-GB" w:eastAsia="ja-JP"/>
        </w:rPr>
        <w:t xml:space="preserve"> perspective, there exists </w:t>
      </w:r>
      <w:proofErr w:type="spellStart"/>
      <w:r w:rsidRPr="007C5D32">
        <w:rPr>
          <w:b w:val="0"/>
          <w:bCs w:val="0"/>
          <w:color w:val="000000"/>
          <w:sz w:val="20"/>
          <w:szCs w:val="20"/>
          <w:u w:val="none"/>
          <w:lang w:val="en-GB" w:eastAsia="ja-JP"/>
        </w:rPr>
        <w:t>eNB</w:t>
      </w:r>
      <w:proofErr w:type="spellEnd"/>
      <w:r w:rsidRPr="007C5D32">
        <w:rPr>
          <w:b w:val="0"/>
          <w:bCs w:val="0"/>
          <w:color w:val="000000"/>
          <w:sz w:val="20"/>
          <w:szCs w:val="20"/>
          <w:u w:val="none"/>
          <w:lang w:val="en-GB" w:eastAsia="ja-JP"/>
        </w:rPr>
        <w:t xml:space="preserve"> </w:t>
      </w:r>
      <w:r w:rsidR="002F57E5" w:rsidRPr="007C5D32">
        <w:rPr>
          <w:b w:val="0"/>
          <w:bCs w:val="0"/>
          <w:color w:val="000000"/>
          <w:sz w:val="20"/>
          <w:szCs w:val="20"/>
          <w:u w:val="none"/>
          <w:lang w:val="en-GB" w:eastAsia="ja-JP"/>
        </w:rPr>
        <w:t>evolved</w:t>
      </w:r>
      <w:r w:rsidRPr="007C5D32">
        <w:rPr>
          <w:b w:val="0"/>
          <w:bCs w:val="0"/>
          <w:color w:val="000000"/>
          <w:sz w:val="20"/>
          <w:szCs w:val="20"/>
          <w:u w:val="none"/>
          <w:lang w:val="en-GB" w:eastAsia="ja-JP"/>
        </w:rPr>
        <w:t xml:space="preserve"> </w:t>
      </w:r>
      <w:r w:rsidR="002F57E5">
        <w:rPr>
          <w:b w:val="0"/>
          <w:bCs w:val="0"/>
          <w:color w:val="000000"/>
          <w:sz w:val="20"/>
          <w:szCs w:val="20"/>
          <w:u w:val="none"/>
          <w:lang w:val="en-GB" w:eastAsia="ja-JP"/>
        </w:rPr>
        <w:t xml:space="preserve">to </w:t>
      </w:r>
      <w:r w:rsidRPr="007C5D32">
        <w:rPr>
          <w:b w:val="0"/>
          <w:bCs w:val="0"/>
          <w:color w:val="000000"/>
          <w:sz w:val="20"/>
          <w:szCs w:val="20"/>
          <w:u w:val="none"/>
          <w:lang w:val="en-GB" w:eastAsia="ja-JP"/>
        </w:rPr>
        <w:t>ng-</w:t>
      </w:r>
      <w:proofErr w:type="spellStart"/>
      <w:r w:rsidRPr="007C5D32">
        <w:rPr>
          <w:b w:val="0"/>
          <w:bCs w:val="0"/>
          <w:color w:val="000000"/>
          <w:sz w:val="20"/>
          <w:szCs w:val="20"/>
          <w:u w:val="none"/>
          <w:lang w:val="en-GB" w:eastAsia="ja-JP"/>
        </w:rPr>
        <w:t>eNB</w:t>
      </w:r>
      <w:proofErr w:type="spellEnd"/>
      <w:r w:rsidRPr="007C5D32">
        <w:rPr>
          <w:b w:val="0"/>
          <w:bCs w:val="0"/>
          <w:color w:val="000000"/>
          <w:sz w:val="20"/>
          <w:szCs w:val="20"/>
          <w:u w:val="none"/>
          <w:lang w:val="en-GB" w:eastAsia="ja-JP"/>
        </w:rPr>
        <w:t xml:space="preserve"> accessing 5GC via NG interface.</w:t>
      </w:r>
    </w:p>
    <w:p w14:paraId="788CE993" w14:textId="77777777" w:rsidR="007C5D32" w:rsidRPr="007C5D32" w:rsidRDefault="007C5D32" w:rsidP="007C5D32">
      <w:pPr>
        <w:pStyle w:val="ListParagraph"/>
        <w:numPr>
          <w:ilvl w:val="0"/>
          <w:numId w:val="13"/>
        </w:numPr>
        <w:rPr>
          <w:b w:val="0"/>
          <w:bCs w:val="0"/>
          <w:color w:val="000000"/>
          <w:sz w:val="20"/>
          <w:szCs w:val="20"/>
          <w:u w:val="none"/>
          <w:lang w:val="en-GB" w:eastAsia="ja-JP"/>
        </w:rPr>
      </w:pPr>
      <w:r w:rsidRPr="007C5D32">
        <w:rPr>
          <w:b w:val="0"/>
          <w:bCs w:val="0"/>
          <w:color w:val="000000"/>
          <w:sz w:val="20"/>
          <w:szCs w:val="20"/>
          <w:u w:val="none"/>
          <w:lang w:val="en-GB" w:eastAsia="ja-JP"/>
        </w:rPr>
        <w:t>From 5GC’s perspective, majority managements of NR NTN can be reused for IoT NTN.</w:t>
      </w:r>
    </w:p>
    <w:p w14:paraId="50E9B333" w14:textId="38C38C23" w:rsidR="007C5D32" w:rsidRPr="00E97765" w:rsidRDefault="001504BD" w:rsidP="007C0183">
      <w:pPr>
        <w:jc w:val="center"/>
        <w:rPr>
          <w:b/>
          <w:bCs/>
        </w:rPr>
      </w:pPr>
      <w:r>
        <w:object w:dxaOrig="7633" w:dyaOrig="1729" w14:anchorId="71D03BE0">
          <v:shape id="_x0000_i1026" type="#_x0000_t75" style="width:306pt;height:69.45pt" o:ole="">
            <v:imagedata r:id="rId10" o:title=""/>
          </v:shape>
          <o:OLEObject Type="Embed" ProgID="Visio.Drawing.15" ShapeID="_x0000_i1026" DrawAspect="Content" ObjectID="_1760529584" r:id="rId11"/>
        </w:object>
      </w:r>
    </w:p>
    <w:p w14:paraId="308C7CAD" w14:textId="77777777" w:rsidR="007C5D32" w:rsidRPr="00E97765" w:rsidRDefault="007C5D32" w:rsidP="007C0183">
      <w:pPr>
        <w:jc w:val="center"/>
        <w:rPr>
          <w:b/>
          <w:bCs/>
        </w:rPr>
      </w:pPr>
      <w:r w:rsidRPr="00E97765">
        <w:rPr>
          <w:b/>
          <w:bCs/>
        </w:rPr>
        <w:t>Fig.2: the aimed architecture for 5GC support of IoT NTN</w:t>
      </w:r>
    </w:p>
    <w:p w14:paraId="1897C7D3" w14:textId="1966BD51" w:rsidR="007C5D32" w:rsidRPr="00E97765" w:rsidRDefault="007C5D32" w:rsidP="007C5D32">
      <w:pPr>
        <w:rPr>
          <w:b/>
          <w:bCs/>
        </w:rPr>
      </w:pPr>
      <w:r w:rsidRPr="00E97765">
        <w:t xml:space="preserve">In the journey of technological evolution, although IoT NTN and NR NTN are often discussed independently, their characteristics are intricately interconnected. For instance, elements like the core network's ability to discern satellite access for mobility restrictions, policy controls, TA management for moving cells, UE location verification for regulatory compliance, and optimization of discontinuous coverage are considerations shared by both architectures. Therefore, the transition of IoT NTN to seamlessly integrate with the 5GC is expected to </w:t>
      </w:r>
      <w:r w:rsidR="00B9686F">
        <w:rPr>
          <w:lang w:eastAsia="zh-CN"/>
        </w:rPr>
        <w:t>be with little burden</w:t>
      </w:r>
      <w:r w:rsidRPr="00E97765">
        <w:t xml:space="preserve">, as it can leverage the mechanisms already established in NR NTN. This analysis delves into </w:t>
      </w:r>
      <w:r w:rsidR="00555073">
        <w:t>8</w:t>
      </w:r>
      <w:r w:rsidRPr="00E97765">
        <w:t xml:space="preserve"> key aspects of enabling IoT NTN to smoothly transition to the 5GC, with NR NTN within the 5GC serving as the baseline for comparison. </w:t>
      </w:r>
    </w:p>
    <w:p w14:paraId="11D9AE5D" w14:textId="77777777" w:rsidR="007C5D32" w:rsidRPr="00E97765" w:rsidRDefault="007C5D32" w:rsidP="007C5D32">
      <w:pPr>
        <w:rPr>
          <w:b/>
          <w:bCs/>
        </w:rPr>
      </w:pPr>
      <w:bookmarkStart w:id="0" w:name="_Hlk149757837"/>
      <w:r w:rsidRPr="00E97765">
        <w:rPr>
          <w:b/>
          <w:bCs/>
        </w:rPr>
        <w:t xml:space="preserve">Support for identification and restriction of IoT NTN RAT types </w:t>
      </w:r>
    </w:p>
    <w:bookmarkEnd w:id="0"/>
    <w:p w14:paraId="6702EEEA" w14:textId="77777777" w:rsidR="007C5D32" w:rsidRPr="004900DD" w:rsidRDefault="007C5D32" w:rsidP="007C5D32">
      <w:pPr>
        <w:rPr>
          <w:color w:val="auto"/>
        </w:rPr>
      </w:pPr>
      <w:r w:rsidRPr="00E97765">
        <w:t>In NR NTN, there are 4 RAT types (NR(LEO), NR(MEO), NR(GEO) or NR(OTHERSAT)) are considered, while in IoT NTN, there are in total 12 E-UTRA RAT types (as defined in clause 4.13.2 in TS23.401) were introduce. When IoT NTN accesses to 5GC, such information is also necessary to be included in the NG interface from ng-</w:t>
      </w:r>
      <w:proofErr w:type="spellStart"/>
      <w:r w:rsidRPr="00E97765">
        <w:t>eNB</w:t>
      </w:r>
      <w:proofErr w:type="spellEnd"/>
      <w:r w:rsidRPr="00E97765">
        <w:t xml:space="preserve"> to 5GC to distinguish the different satellite access types and take RAT type as a reference for mobility restrictions (i.e. RAT restrictions), and policy controls (</w:t>
      </w:r>
      <w:r w:rsidRPr="004900DD">
        <w:rPr>
          <w:color w:val="auto"/>
        </w:rPr>
        <w:t>QoS control and charging control).</w:t>
      </w:r>
    </w:p>
    <w:p w14:paraId="76946BA2" w14:textId="2AA4D771" w:rsidR="007C5D32" w:rsidRPr="004900DD" w:rsidRDefault="007C5D32" w:rsidP="007C5D32">
      <w:pPr>
        <w:rPr>
          <w:b/>
          <w:bCs/>
          <w:color w:val="auto"/>
          <w:u w:val="single"/>
        </w:rPr>
      </w:pPr>
      <w:r w:rsidRPr="004900DD">
        <w:rPr>
          <w:b/>
          <w:bCs/>
          <w:color w:val="auto"/>
          <w:u w:val="single"/>
        </w:rPr>
        <w:lastRenderedPageBreak/>
        <w:t xml:space="preserve">Observation 1: </w:t>
      </w:r>
      <w:bookmarkStart w:id="1" w:name="_Hlk149756752"/>
      <w:r w:rsidRPr="004900DD">
        <w:rPr>
          <w:b/>
          <w:bCs/>
          <w:color w:val="auto"/>
          <w:u w:val="single"/>
        </w:rPr>
        <w:t xml:space="preserve">AMF needs to recognize the </w:t>
      </w:r>
      <w:r w:rsidR="00E7280B" w:rsidRPr="004900DD">
        <w:rPr>
          <w:b/>
          <w:bCs/>
          <w:color w:val="auto"/>
          <w:u w:val="single"/>
        </w:rPr>
        <w:t xml:space="preserve">E-UTRA (IoT NTN) </w:t>
      </w:r>
      <w:r w:rsidRPr="004900DD">
        <w:rPr>
          <w:b/>
          <w:bCs/>
          <w:color w:val="auto"/>
          <w:u w:val="single"/>
        </w:rPr>
        <w:t>RAT types transmitted by ng-</w:t>
      </w:r>
      <w:proofErr w:type="spellStart"/>
      <w:r w:rsidRPr="004900DD">
        <w:rPr>
          <w:b/>
          <w:bCs/>
          <w:color w:val="auto"/>
          <w:u w:val="single"/>
        </w:rPr>
        <w:t>eNB</w:t>
      </w:r>
      <w:bookmarkEnd w:id="1"/>
      <w:proofErr w:type="spellEnd"/>
      <w:r w:rsidRPr="004900DD">
        <w:rPr>
          <w:b/>
          <w:bCs/>
          <w:color w:val="auto"/>
          <w:u w:val="single"/>
        </w:rPr>
        <w:t xml:space="preserve"> </w:t>
      </w:r>
    </w:p>
    <w:p w14:paraId="36F223E2" w14:textId="77777777" w:rsidR="007C5D32" w:rsidRPr="004900DD" w:rsidRDefault="007C5D32" w:rsidP="007C5D32">
      <w:pPr>
        <w:rPr>
          <w:b/>
          <w:bCs/>
          <w:color w:val="auto"/>
        </w:rPr>
      </w:pPr>
      <w:r w:rsidRPr="004900DD">
        <w:rPr>
          <w:b/>
          <w:bCs/>
          <w:color w:val="auto"/>
        </w:rPr>
        <w:t>Verification of UE location in 5GC</w:t>
      </w:r>
    </w:p>
    <w:p w14:paraId="02575CAA" w14:textId="3251C362" w:rsidR="007C5D32" w:rsidRPr="005A0519" w:rsidRDefault="007C5D32" w:rsidP="007C5D32">
      <w:pPr>
        <w:rPr>
          <w:color w:val="auto"/>
        </w:rPr>
      </w:pPr>
      <w:r w:rsidRPr="005A0519">
        <w:rPr>
          <w:color w:val="auto"/>
        </w:rPr>
        <w:t xml:space="preserve">In NR NTN, AMF </w:t>
      </w:r>
      <w:r w:rsidR="00A316CF" w:rsidRPr="005A0519">
        <w:rPr>
          <w:color w:val="auto"/>
        </w:rPr>
        <w:t>can</w:t>
      </w:r>
      <w:r w:rsidRPr="005A0519">
        <w:rPr>
          <w:color w:val="auto"/>
        </w:rPr>
        <w:t xml:space="preserve"> verify UE location with PLMN ID and ULI (User Location Information) provided via NGAP by </w:t>
      </w:r>
      <w:proofErr w:type="spellStart"/>
      <w:r w:rsidRPr="005A0519">
        <w:rPr>
          <w:color w:val="auto"/>
        </w:rPr>
        <w:t>gNB</w:t>
      </w:r>
      <w:proofErr w:type="spellEnd"/>
      <w:r w:rsidR="00A316CF" w:rsidRPr="005A0519">
        <w:rPr>
          <w:color w:val="auto"/>
        </w:rPr>
        <w:t xml:space="preserve"> in </w:t>
      </w:r>
      <w:proofErr w:type="spellStart"/>
      <w:r w:rsidR="00A316CF" w:rsidRPr="005A0519">
        <w:rPr>
          <w:color w:val="auto"/>
        </w:rPr>
        <w:t>Rel</w:t>
      </w:r>
      <w:proofErr w:type="spellEnd"/>
      <w:r w:rsidR="00A316CF" w:rsidRPr="005A0519">
        <w:rPr>
          <w:color w:val="auto"/>
        </w:rPr>
        <w:t xml:space="preserve"> 17. In </w:t>
      </w:r>
      <w:proofErr w:type="spellStart"/>
      <w:r w:rsidR="00A316CF" w:rsidRPr="005A0519">
        <w:rPr>
          <w:color w:val="auto"/>
        </w:rPr>
        <w:t>Rel</w:t>
      </w:r>
      <w:proofErr w:type="spellEnd"/>
      <w:r w:rsidR="00A316CF" w:rsidRPr="005A0519">
        <w:rPr>
          <w:color w:val="auto"/>
        </w:rPr>
        <w:t xml:space="preserve"> 18, network verified UE location is enhanced (RP-230809), AMF can interact</w:t>
      </w:r>
      <w:r w:rsidRPr="005A0519">
        <w:rPr>
          <w:color w:val="auto"/>
        </w:rPr>
        <w:t xml:space="preserve"> with LCS (initiating NI-LR as defined in clause 6.10 of TS23.273) to obtain a more accurate UE locatio</w:t>
      </w:r>
      <w:r w:rsidR="00A316CF" w:rsidRPr="005A0519">
        <w:rPr>
          <w:color w:val="auto"/>
        </w:rPr>
        <w:t>n</w:t>
      </w:r>
      <w:r w:rsidRPr="005A0519">
        <w:rPr>
          <w:color w:val="auto"/>
        </w:rPr>
        <w:t xml:space="preserve">.  In IoT NTN, as </w:t>
      </w:r>
      <w:r w:rsidR="00A316CF" w:rsidRPr="005A0519">
        <w:rPr>
          <w:color w:val="auto"/>
        </w:rPr>
        <w:t>network verified UE location needs</w:t>
      </w:r>
      <w:r w:rsidRPr="005A0519">
        <w:rPr>
          <w:color w:val="auto"/>
        </w:rPr>
        <w:t xml:space="preserve"> enhanced UE </w:t>
      </w:r>
      <w:r w:rsidR="00A316CF" w:rsidRPr="005A0519">
        <w:rPr>
          <w:color w:val="auto"/>
        </w:rPr>
        <w:t xml:space="preserve">positioning </w:t>
      </w:r>
      <w:r w:rsidRPr="005A0519">
        <w:rPr>
          <w:color w:val="auto"/>
        </w:rPr>
        <w:t>capabilities, e.g. to support positioning measurements/calculations</w:t>
      </w:r>
      <w:r w:rsidR="00A316CF" w:rsidRPr="005A0519">
        <w:rPr>
          <w:color w:val="auto"/>
        </w:rPr>
        <w:t xml:space="preserve"> (i.e. RAN work)</w:t>
      </w:r>
      <w:r w:rsidRPr="005A0519">
        <w:rPr>
          <w:color w:val="auto"/>
        </w:rPr>
        <w:t>, location verification is not supported</w:t>
      </w:r>
      <w:r w:rsidR="00A316CF" w:rsidRPr="005A0519">
        <w:rPr>
          <w:color w:val="auto"/>
        </w:rPr>
        <w:t xml:space="preserve"> in both </w:t>
      </w:r>
      <w:proofErr w:type="spellStart"/>
      <w:r w:rsidR="00A316CF" w:rsidRPr="005A0519">
        <w:rPr>
          <w:color w:val="auto"/>
        </w:rPr>
        <w:t>Rel</w:t>
      </w:r>
      <w:proofErr w:type="spellEnd"/>
      <w:r w:rsidR="00A316CF" w:rsidRPr="005A0519">
        <w:rPr>
          <w:color w:val="auto"/>
        </w:rPr>
        <w:t xml:space="preserve"> 17 and </w:t>
      </w:r>
      <w:proofErr w:type="spellStart"/>
      <w:r w:rsidR="00A316CF" w:rsidRPr="005A0519">
        <w:rPr>
          <w:color w:val="auto"/>
        </w:rPr>
        <w:t>Rel</w:t>
      </w:r>
      <w:proofErr w:type="spellEnd"/>
      <w:r w:rsidR="00A316CF" w:rsidRPr="005A0519">
        <w:rPr>
          <w:color w:val="auto"/>
        </w:rPr>
        <w:t xml:space="preserve"> 18. </w:t>
      </w:r>
      <w:r w:rsidRPr="005A0519">
        <w:rPr>
          <w:color w:val="auto"/>
        </w:rPr>
        <w:t xml:space="preserve">  </w:t>
      </w:r>
    </w:p>
    <w:p w14:paraId="6F06B425" w14:textId="66F64401" w:rsidR="007C0183" w:rsidRPr="004900DD" w:rsidRDefault="007C5D32" w:rsidP="007C5D32">
      <w:pPr>
        <w:rPr>
          <w:b/>
          <w:bCs/>
          <w:color w:val="auto"/>
          <w:u w:val="single"/>
        </w:rPr>
      </w:pPr>
      <w:r w:rsidRPr="005A0519">
        <w:rPr>
          <w:b/>
          <w:bCs/>
          <w:color w:val="auto"/>
          <w:u w:val="single"/>
        </w:rPr>
        <w:t xml:space="preserve">Observation </w:t>
      </w:r>
      <w:r w:rsidR="007C0183" w:rsidRPr="005A0519">
        <w:rPr>
          <w:b/>
          <w:bCs/>
          <w:color w:val="auto"/>
          <w:u w:val="single"/>
        </w:rPr>
        <w:t>2</w:t>
      </w:r>
      <w:r w:rsidRPr="005A0519">
        <w:rPr>
          <w:b/>
          <w:bCs/>
          <w:color w:val="auto"/>
          <w:u w:val="single"/>
        </w:rPr>
        <w:t xml:space="preserve">: network verified </w:t>
      </w:r>
      <w:r w:rsidR="00A316CF" w:rsidRPr="005A0519">
        <w:rPr>
          <w:b/>
          <w:bCs/>
          <w:color w:val="auto"/>
          <w:u w:val="single"/>
        </w:rPr>
        <w:t>UE location</w:t>
      </w:r>
      <w:r w:rsidRPr="005A0519">
        <w:rPr>
          <w:b/>
          <w:bCs/>
          <w:color w:val="auto"/>
          <w:u w:val="single"/>
        </w:rPr>
        <w:t xml:space="preserve"> of IoT NTN in 5GC is not supported.</w:t>
      </w:r>
      <w:r w:rsidR="00A316CF" w:rsidRPr="005A0519">
        <w:rPr>
          <w:b/>
          <w:bCs/>
          <w:color w:val="auto"/>
          <w:u w:val="single"/>
        </w:rPr>
        <w:t xml:space="preserve"> If network verified UE location for IoT NTN is enhanced, this part </w:t>
      </w:r>
      <w:r w:rsidR="00C42FE6" w:rsidRPr="005A0519">
        <w:rPr>
          <w:b/>
          <w:bCs/>
          <w:color w:val="auto"/>
          <w:u w:val="single"/>
        </w:rPr>
        <w:t xml:space="preserve">will </w:t>
      </w:r>
      <w:r w:rsidR="00A316CF" w:rsidRPr="005A0519">
        <w:rPr>
          <w:b/>
          <w:bCs/>
          <w:color w:val="auto"/>
          <w:u w:val="single"/>
        </w:rPr>
        <w:t>be aligned with RAN results.</w:t>
      </w:r>
    </w:p>
    <w:p w14:paraId="1914A7C8" w14:textId="350DD73B" w:rsidR="007C5D32" w:rsidRPr="004900DD" w:rsidRDefault="007C5D32" w:rsidP="007C5D32">
      <w:pPr>
        <w:rPr>
          <w:b/>
          <w:bCs/>
          <w:color w:val="auto"/>
        </w:rPr>
      </w:pPr>
      <w:r w:rsidRPr="004900DD">
        <w:rPr>
          <w:b/>
          <w:bCs/>
          <w:color w:val="auto"/>
        </w:rPr>
        <w:t>Network selection for IoT NTN in 5GC</w:t>
      </w:r>
    </w:p>
    <w:p w14:paraId="487553D6" w14:textId="065CCA4E" w:rsidR="007C5D32" w:rsidRPr="004900DD" w:rsidRDefault="007C5D32" w:rsidP="007C5D32">
      <w:pPr>
        <w:rPr>
          <w:color w:val="auto"/>
        </w:rPr>
      </w:pPr>
      <w:r w:rsidRPr="004900DD">
        <w:rPr>
          <w:color w:val="auto"/>
        </w:rPr>
        <w:t>Generally, RAN broadcasts system information to include PLMN information, and UE utilizes the received broadcasted info and PLMN information stored to perform the network selection (PLMN selection as defined in TS23.211 and access network selection as defined in TS36.300/38</w:t>
      </w:r>
      <w:r w:rsidR="001B2F8C">
        <w:rPr>
          <w:color w:val="auto"/>
        </w:rPr>
        <w:t xml:space="preserve"> </w:t>
      </w:r>
      <w:r w:rsidRPr="004900DD">
        <w:rPr>
          <w:color w:val="auto"/>
        </w:rPr>
        <w:t xml:space="preserve">.300). </w:t>
      </w:r>
    </w:p>
    <w:p w14:paraId="581E0AB6" w14:textId="77777777" w:rsidR="007C5D32" w:rsidRPr="004900DD" w:rsidRDefault="007C5D32" w:rsidP="007C5D32">
      <w:pPr>
        <w:rPr>
          <w:color w:val="auto"/>
        </w:rPr>
      </w:pPr>
      <w:r w:rsidRPr="004900DD">
        <w:rPr>
          <w:color w:val="auto"/>
        </w:rPr>
        <w:t>In ng-</w:t>
      </w:r>
      <w:proofErr w:type="spellStart"/>
      <w:r w:rsidRPr="004900DD">
        <w:rPr>
          <w:color w:val="auto"/>
        </w:rPr>
        <w:t>eNB’s</w:t>
      </w:r>
      <w:proofErr w:type="spellEnd"/>
      <w:r w:rsidRPr="004900DD">
        <w:rPr>
          <w:color w:val="auto"/>
        </w:rPr>
        <w:t xml:space="preserve"> perspective, such broadcasting feature is already captured in 36.331, e.g. </w:t>
      </w:r>
    </w:p>
    <w:p w14:paraId="138DDD62" w14:textId="77777777" w:rsidR="007C5D32" w:rsidRPr="004900DD" w:rsidRDefault="007C5D32" w:rsidP="007C5D32">
      <w:pPr>
        <w:pStyle w:val="ListParagraph"/>
        <w:numPr>
          <w:ilvl w:val="0"/>
          <w:numId w:val="12"/>
        </w:numPr>
        <w:rPr>
          <w:b w:val="0"/>
          <w:bCs w:val="0"/>
          <w:sz w:val="20"/>
          <w:szCs w:val="20"/>
          <w:u w:val="none"/>
          <w:lang w:val="en-GB" w:eastAsia="ja-JP"/>
        </w:rPr>
      </w:pPr>
      <w:r w:rsidRPr="004900DD">
        <w:rPr>
          <w:b w:val="0"/>
          <w:bCs w:val="0"/>
          <w:sz w:val="20"/>
          <w:szCs w:val="20"/>
          <w:u w:val="none"/>
          <w:lang w:val="en-GB" w:eastAsia="ja-JP"/>
        </w:rPr>
        <w:t xml:space="preserve">SIB-1 message includes PLMN and PLMN capability information such as cellAccessRelatedInfoList-5GC-r15, cp-CIoT-5GS-Optimisation-r16, up-CIoT-5GS-Optimisation-r16 .etc, </w:t>
      </w:r>
    </w:p>
    <w:p w14:paraId="4472B658" w14:textId="77777777" w:rsidR="007C5D32" w:rsidRPr="004900DD" w:rsidRDefault="007C5D32" w:rsidP="007C5D32">
      <w:pPr>
        <w:pStyle w:val="ListParagraph"/>
        <w:numPr>
          <w:ilvl w:val="0"/>
          <w:numId w:val="12"/>
        </w:numPr>
        <w:rPr>
          <w:b w:val="0"/>
          <w:bCs w:val="0"/>
          <w:sz w:val="20"/>
          <w:szCs w:val="20"/>
          <w:u w:val="none"/>
          <w:lang w:val="en-GB" w:eastAsia="ja-JP"/>
        </w:rPr>
      </w:pPr>
      <w:r w:rsidRPr="004900DD">
        <w:rPr>
          <w:b w:val="0"/>
          <w:bCs w:val="0"/>
          <w:sz w:val="20"/>
          <w:szCs w:val="20"/>
          <w:u w:val="none"/>
          <w:lang w:val="en-GB" w:eastAsia="ja-JP"/>
        </w:rPr>
        <w:t>SIB-31, SIB-32 messages include satellite-related information, such as ephemeris information, discontinuous coverage information.</w:t>
      </w:r>
    </w:p>
    <w:p w14:paraId="7FCA1B37" w14:textId="7D0C1E49" w:rsidR="007C5D32" w:rsidRPr="004900DD" w:rsidRDefault="007C5D32" w:rsidP="007C5D32">
      <w:pPr>
        <w:rPr>
          <w:color w:val="auto"/>
        </w:rPr>
      </w:pPr>
      <w:r w:rsidRPr="004900DD">
        <w:rPr>
          <w:color w:val="auto"/>
        </w:rPr>
        <w:t>Similarly, NB-IoT has corresponding messages, SIB1-NB, SIB31-NB and SIB32-NB. Therefore, from ng-</w:t>
      </w:r>
      <w:proofErr w:type="spellStart"/>
      <w:r w:rsidRPr="004900DD">
        <w:rPr>
          <w:color w:val="auto"/>
        </w:rPr>
        <w:t>eNB’s</w:t>
      </w:r>
      <w:proofErr w:type="spellEnd"/>
      <w:r w:rsidRPr="004900DD">
        <w:rPr>
          <w:color w:val="auto"/>
        </w:rPr>
        <w:t xml:space="preserve"> perspective, supporting network selection needs no enhancements. From terminal’s perspective, it needs UE to have 5G NAS capabilities to enable the network selection, which feature is already captured in Rel-16 cellular IoT item.</w:t>
      </w:r>
    </w:p>
    <w:p w14:paraId="18A36D0B" w14:textId="1806E9D9" w:rsidR="007C0183" w:rsidRPr="004900DD" w:rsidRDefault="007C5D32" w:rsidP="007C5D32">
      <w:pPr>
        <w:rPr>
          <w:b/>
          <w:bCs/>
          <w:color w:val="auto"/>
          <w:u w:val="single"/>
        </w:rPr>
      </w:pPr>
      <w:r w:rsidRPr="004900DD">
        <w:rPr>
          <w:b/>
          <w:bCs/>
          <w:color w:val="auto"/>
          <w:u w:val="single"/>
        </w:rPr>
        <w:t xml:space="preserve">Observation </w:t>
      </w:r>
      <w:r w:rsidR="007C0183" w:rsidRPr="004900DD">
        <w:rPr>
          <w:b/>
          <w:bCs/>
          <w:color w:val="auto"/>
          <w:u w:val="single"/>
        </w:rPr>
        <w:t>3</w:t>
      </w:r>
      <w:r w:rsidRPr="004900DD">
        <w:rPr>
          <w:b/>
          <w:bCs/>
          <w:color w:val="auto"/>
          <w:u w:val="single"/>
        </w:rPr>
        <w:t>: support of network selection for cellular IoT in 5GC can apply to IoT NTN in 5GC</w:t>
      </w:r>
    </w:p>
    <w:p w14:paraId="4B2D23EB" w14:textId="6F39D4BE" w:rsidR="007C5D32" w:rsidRPr="004900DD" w:rsidRDefault="007C5D32" w:rsidP="007C5D32">
      <w:pPr>
        <w:rPr>
          <w:b/>
          <w:bCs/>
          <w:color w:val="auto"/>
        </w:rPr>
      </w:pPr>
      <w:r w:rsidRPr="004900DD">
        <w:rPr>
          <w:b/>
          <w:bCs/>
          <w:color w:val="auto"/>
        </w:rPr>
        <w:t>Mobility registration update for IoT NTN in 5GC</w:t>
      </w:r>
    </w:p>
    <w:p w14:paraId="1DC7D852" w14:textId="2F35959B" w:rsidR="007C5D32" w:rsidRPr="004900DD" w:rsidRDefault="007C5D32" w:rsidP="007C5D32">
      <w:pPr>
        <w:rPr>
          <w:b/>
          <w:bCs/>
          <w:color w:val="auto"/>
        </w:rPr>
      </w:pPr>
      <w:r w:rsidRPr="004900DD">
        <w:rPr>
          <w:color w:val="auto"/>
        </w:rPr>
        <w:t xml:space="preserve">UE </w:t>
      </w:r>
      <w:proofErr w:type="spellStart"/>
      <w:r w:rsidRPr="004900DD">
        <w:rPr>
          <w:color w:val="auto"/>
        </w:rPr>
        <w:t>behavior</w:t>
      </w:r>
      <w:proofErr w:type="spellEnd"/>
      <w:r w:rsidRPr="004900DD">
        <w:rPr>
          <w:color w:val="auto"/>
        </w:rPr>
        <w:t xml:space="preserve"> about whether and when to perform </w:t>
      </w:r>
      <w:r w:rsidR="00C14153">
        <w:rPr>
          <w:color w:val="auto"/>
        </w:rPr>
        <w:t>M</w:t>
      </w:r>
      <w:r w:rsidRPr="004900DD">
        <w:rPr>
          <w:color w:val="auto"/>
        </w:rPr>
        <w:t xml:space="preserve">obility </w:t>
      </w:r>
      <w:r w:rsidR="00C14153">
        <w:rPr>
          <w:color w:val="auto"/>
        </w:rPr>
        <w:t>R</w:t>
      </w:r>
      <w:r w:rsidRPr="004900DD">
        <w:rPr>
          <w:color w:val="auto"/>
        </w:rPr>
        <w:t xml:space="preserve">egistration </w:t>
      </w:r>
      <w:r w:rsidR="00C14153">
        <w:rPr>
          <w:color w:val="auto"/>
        </w:rPr>
        <w:t>U</w:t>
      </w:r>
      <w:r w:rsidRPr="004900DD">
        <w:rPr>
          <w:color w:val="auto"/>
        </w:rPr>
        <w:t>pdate procedure due to the moving radio cells in IoT NTN is the same as in NR NTN.</w:t>
      </w:r>
    </w:p>
    <w:p w14:paraId="668538E6" w14:textId="3A4F8750" w:rsidR="007C0183" w:rsidRPr="004900DD" w:rsidRDefault="007C5D32" w:rsidP="007C5D32">
      <w:pPr>
        <w:rPr>
          <w:b/>
          <w:bCs/>
          <w:color w:val="auto"/>
          <w:u w:val="single"/>
        </w:rPr>
      </w:pPr>
      <w:r w:rsidRPr="004900DD">
        <w:rPr>
          <w:b/>
          <w:bCs/>
          <w:color w:val="auto"/>
          <w:u w:val="single"/>
        </w:rPr>
        <w:t xml:space="preserve">Observation </w:t>
      </w:r>
      <w:r w:rsidR="007C0183" w:rsidRPr="004900DD">
        <w:rPr>
          <w:b/>
          <w:bCs/>
          <w:color w:val="auto"/>
          <w:u w:val="single"/>
        </w:rPr>
        <w:t>4</w:t>
      </w:r>
      <w:r w:rsidRPr="004900DD">
        <w:rPr>
          <w:b/>
          <w:bCs/>
          <w:color w:val="auto"/>
          <w:u w:val="single"/>
        </w:rPr>
        <w:t>: support of mobility registration update for NR NTN in 5GC can apply to IoT NTN in 5GC</w:t>
      </w:r>
      <w:bookmarkStart w:id="2" w:name="_Hlk149578507"/>
    </w:p>
    <w:p w14:paraId="41ED8BC4" w14:textId="509B07C0" w:rsidR="007C5D32" w:rsidRPr="004900DD" w:rsidRDefault="007C5D32" w:rsidP="007C5D32">
      <w:pPr>
        <w:rPr>
          <w:b/>
          <w:bCs/>
          <w:color w:val="auto"/>
        </w:rPr>
      </w:pPr>
      <w:r w:rsidRPr="004900DD">
        <w:rPr>
          <w:b/>
          <w:bCs/>
          <w:color w:val="auto"/>
        </w:rPr>
        <w:t xml:space="preserve">Tracking area handling </w:t>
      </w:r>
      <w:bookmarkEnd w:id="2"/>
      <w:r w:rsidRPr="004900DD">
        <w:rPr>
          <w:b/>
          <w:bCs/>
          <w:color w:val="auto"/>
        </w:rPr>
        <w:t>for IoT NTN in 5GC</w:t>
      </w:r>
    </w:p>
    <w:p w14:paraId="5117B040" w14:textId="5FA2A77F" w:rsidR="007C5D32" w:rsidRPr="004900DD" w:rsidRDefault="007C5D32" w:rsidP="007C5D32">
      <w:pPr>
        <w:rPr>
          <w:color w:val="auto"/>
        </w:rPr>
      </w:pPr>
      <w:r w:rsidRPr="004900DD">
        <w:rPr>
          <w:color w:val="auto"/>
        </w:rPr>
        <w:t xml:space="preserve">RAN broadcasting TA </w:t>
      </w:r>
      <w:proofErr w:type="spellStart"/>
      <w:r w:rsidRPr="004900DD">
        <w:rPr>
          <w:color w:val="auto"/>
        </w:rPr>
        <w:t>behavior</w:t>
      </w:r>
      <w:proofErr w:type="spellEnd"/>
      <w:r w:rsidRPr="004900DD">
        <w:rPr>
          <w:color w:val="auto"/>
        </w:rPr>
        <w:t xml:space="preserve"> </w:t>
      </w:r>
      <w:r w:rsidR="00025D09">
        <w:rPr>
          <w:color w:val="auto"/>
        </w:rPr>
        <w:t xml:space="preserve">and core network TA management </w:t>
      </w:r>
      <w:r w:rsidRPr="004900DD">
        <w:rPr>
          <w:color w:val="auto"/>
        </w:rPr>
        <w:t>in IoT NTN is the same as in NR NTN.</w:t>
      </w:r>
    </w:p>
    <w:p w14:paraId="2506798D" w14:textId="2EE5EEC8" w:rsidR="007C0183" w:rsidRPr="004900DD" w:rsidRDefault="007C5D32" w:rsidP="007C5D32">
      <w:pPr>
        <w:rPr>
          <w:b/>
          <w:bCs/>
          <w:color w:val="auto"/>
          <w:u w:val="single"/>
        </w:rPr>
      </w:pPr>
      <w:r w:rsidRPr="004900DD">
        <w:rPr>
          <w:b/>
          <w:bCs/>
          <w:color w:val="auto"/>
          <w:u w:val="single"/>
        </w:rPr>
        <w:t xml:space="preserve">Observation </w:t>
      </w:r>
      <w:r w:rsidR="007C0183" w:rsidRPr="004900DD">
        <w:rPr>
          <w:b/>
          <w:bCs/>
          <w:color w:val="auto"/>
          <w:u w:val="single"/>
        </w:rPr>
        <w:t>5</w:t>
      </w:r>
      <w:r w:rsidRPr="004900DD">
        <w:rPr>
          <w:b/>
          <w:bCs/>
          <w:color w:val="auto"/>
          <w:u w:val="single"/>
        </w:rPr>
        <w:t xml:space="preserve">: support of </w:t>
      </w:r>
      <w:r w:rsidR="00C14153">
        <w:rPr>
          <w:rFonts w:hint="eastAsia"/>
          <w:b/>
          <w:bCs/>
          <w:color w:val="auto"/>
          <w:u w:val="single"/>
          <w:lang w:eastAsia="zh-CN"/>
        </w:rPr>
        <w:t>t</w:t>
      </w:r>
      <w:r w:rsidRPr="004900DD">
        <w:rPr>
          <w:b/>
          <w:bCs/>
          <w:color w:val="auto"/>
          <w:u w:val="single"/>
        </w:rPr>
        <w:t>racking area handling for NR NTN in 5GC can apply to IoT NTN in 5GC</w:t>
      </w:r>
    </w:p>
    <w:p w14:paraId="3EEE27E2" w14:textId="1FE4BBD4" w:rsidR="007C5D32" w:rsidRPr="004900DD" w:rsidRDefault="007C5D32" w:rsidP="007C5D32">
      <w:pPr>
        <w:rPr>
          <w:b/>
          <w:bCs/>
          <w:color w:val="auto"/>
        </w:rPr>
      </w:pPr>
      <w:r w:rsidRPr="004900DD">
        <w:rPr>
          <w:b/>
          <w:bCs/>
          <w:color w:val="auto"/>
        </w:rPr>
        <w:t>Support of mobility forbidden area for IoT NTN in 5GC</w:t>
      </w:r>
    </w:p>
    <w:p w14:paraId="517CD6BA" w14:textId="44CD9368" w:rsidR="007C5D32" w:rsidRPr="004900DD" w:rsidRDefault="007C5D32" w:rsidP="007C5D32">
      <w:pPr>
        <w:rPr>
          <w:color w:val="auto"/>
        </w:rPr>
      </w:pPr>
      <w:r w:rsidRPr="004900DD">
        <w:rPr>
          <w:color w:val="auto"/>
        </w:rPr>
        <w:t xml:space="preserve">MME </w:t>
      </w:r>
      <w:proofErr w:type="spellStart"/>
      <w:r w:rsidRPr="004900DD">
        <w:rPr>
          <w:color w:val="auto"/>
        </w:rPr>
        <w:t>behavior</w:t>
      </w:r>
      <w:proofErr w:type="spellEnd"/>
      <w:r w:rsidRPr="004900DD">
        <w:rPr>
          <w:color w:val="auto"/>
        </w:rPr>
        <w:t xml:space="preserve"> about forbidden area management (consider UE in forbidden area</w:t>
      </w:r>
      <w:r w:rsidR="006B17B0">
        <w:rPr>
          <w:color w:val="auto"/>
        </w:rPr>
        <w:t xml:space="preserve"> or not</w:t>
      </w:r>
      <w:r w:rsidRPr="004900DD">
        <w:rPr>
          <w:color w:val="auto"/>
        </w:rPr>
        <w:t xml:space="preserve">) in IoT NTN is the same as AMF </w:t>
      </w:r>
      <w:proofErr w:type="spellStart"/>
      <w:r w:rsidRPr="004900DD">
        <w:rPr>
          <w:color w:val="auto"/>
        </w:rPr>
        <w:t>behavior</w:t>
      </w:r>
      <w:proofErr w:type="spellEnd"/>
      <w:r w:rsidRPr="004900DD">
        <w:rPr>
          <w:color w:val="auto"/>
        </w:rPr>
        <w:t xml:space="preserve"> in NR NTN</w:t>
      </w:r>
    </w:p>
    <w:p w14:paraId="1F8F8475" w14:textId="39DED87C" w:rsidR="007C0183" w:rsidRPr="004900DD" w:rsidRDefault="007C5D32" w:rsidP="007C5D32">
      <w:pPr>
        <w:rPr>
          <w:b/>
          <w:bCs/>
          <w:color w:val="auto"/>
          <w:u w:val="single"/>
        </w:rPr>
      </w:pPr>
      <w:r w:rsidRPr="004900DD">
        <w:rPr>
          <w:b/>
          <w:bCs/>
          <w:color w:val="auto"/>
          <w:u w:val="single"/>
        </w:rPr>
        <w:t xml:space="preserve">Observation </w:t>
      </w:r>
      <w:r w:rsidR="007C0183" w:rsidRPr="004900DD">
        <w:rPr>
          <w:b/>
          <w:bCs/>
          <w:color w:val="auto"/>
          <w:u w:val="single"/>
        </w:rPr>
        <w:t>6</w:t>
      </w:r>
      <w:r w:rsidRPr="004900DD">
        <w:rPr>
          <w:b/>
          <w:bCs/>
          <w:color w:val="auto"/>
          <w:u w:val="single"/>
        </w:rPr>
        <w:t>: support of mobility forbidden area for NR NTN in 5GC can apply to IoT NTN in 5GC</w:t>
      </w:r>
    </w:p>
    <w:p w14:paraId="54683CEB" w14:textId="0471DF48" w:rsidR="007C5D32" w:rsidRPr="004900DD" w:rsidRDefault="007C5D32" w:rsidP="007C5D32">
      <w:pPr>
        <w:rPr>
          <w:b/>
          <w:bCs/>
          <w:color w:val="auto"/>
        </w:rPr>
      </w:pPr>
      <w:r w:rsidRPr="004900DD">
        <w:rPr>
          <w:b/>
          <w:bCs/>
          <w:color w:val="auto"/>
        </w:rPr>
        <w:t>Support of service area restrictions for IoT NTN in 5GC</w:t>
      </w:r>
    </w:p>
    <w:p w14:paraId="3DF5E142" w14:textId="4E390E8F" w:rsidR="007C5D32" w:rsidRPr="004900DD" w:rsidRDefault="007C5D32" w:rsidP="007C5D32">
      <w:pPr>
        <w:rPr>
          <w:b/>
          <w:bCs/>
          <w:color w:val="auto"/>
        </w:rPr>
      </w:pPr>
      <w:r w:rsidRPr="004900DD">
        <w:rPr>
          <w:color w:val="auto"/>
        </w:rPr>
        <w:t xml:space="preserve">Service restriction area (allowed, non-allowed service area) is a new concept in 5GC compared to EPC, which was mainly developed to better support use cases that would not require full mobility support and mainly maintained in UE and 5GC side. When accesses to 5GC, </w:t>
      </w:r>
      <w:r w:rsidR="00C42FE6">
        <w:rPr>
          <w:color w:val="auto"/>
        </w:rPr>
        <w:t xml:space="preserve">UE </w:t>
      </w:r>
      <w:proofErr w:type="spellStart"/>
      <w:r w:rsidR="00C42FE6">
        <w:rPr>
          <w:color w:val="auto"/>
        </w:rPr>
        <w:t>behavior</w:t>
      </w:r>
      <w:proofErr w:type="spellEnd"/>
      <w:r w:rsidR="00C42FE6">
        <w:rPr>
          <w:color w:val="auto"/>
        </w:rPr>
        <w:t xml:space="preserve"> needs to be enhanced by following UE in NR NTN.</w:t>
      </w:r>
    </w:p>
    <w:p w14:paraId="752393F3" w14:textId="1DE7D3C1" w:rsidR="00B4257D" w:rsidRPr="004900DD" w:rsidRDefault="007C5D32" w:rsidP="00B4257D">
      <w:pPr>
        <w:rPr>
          <w:b/>
          <w:bCs/>
          <w:color w:val="auto"/>
          <w:u w:val="single"/>
        </w:rPr>
      </w:pPr>
      <w:r w:rsidRPr="004900DD">
        <w:rPr>
          <w:b/>
          <w:bCs/>
          <w:color w:val="auto"/>
          <w:u w:val="single"/>
        </w:rPr>
        <w:t xml:space="preserve">Observation </w:t>
      </w:r>
      <w:r w:rsidR="007C0183" w:rsidRPr="004900DD">
        <w:rPr>
          <w:b/>
          <w:bCs/>
          <w:color w:val="auto"/>
          <w:u w:val="single"/>
        </w:rPr>
        <w:t>7</w:t>
      </w:r>
      <w:r w:rsidRPr="004900DD">
        <w:rPr>
          <w:b/>
          <w:bCs/>
          <w:color w:val="auto"/>
          <w:u w:val="single"/>
        </w:rPr>
        <w:t xml:space="preserve">: support of service area restrictions for </w:t>
      </w:r>
      <w:r w:rsidR="00C42FE6">
        <w:rPr>
          <w:b/>
          <w:bCs/>
          <w:color w:val="auto"/>
          <w:u w:val="single"/>
        </w:rPr>
        <w:t>NR NTN</w:t>
      </w:r>
      <w:r w:rsidRPr="004900DD">
        <w:rPr>
          <w:b/>
          <w:bCs/>
          <w:color w:val="auto"/>
          <w:u w:val="single"/>
        </w:rPr>
        <w:t xml:space="preserve"> in 5GC can apply to IoT NTN in 5GC.</w:t>
      </w:r>
    </w:p>
    <w:p w14:paraId="6B32DFED" w14:textId="0A99A955" w:rsidR="00555073" w:rsidRPr="004900DD" w:rsidRDefault="00555073" w:rsidP="00555073">
      <w:pPr>
        <w:rPr>
          <w:b/>
          <w:bCs/>
          <w:color w:val="auto"/>
        </w:rPr>
      </w:pPr>
      <w:r w:rsidRPr="004900DD">
        <w:rPr>
          <w:b/>
          <w:bCs/>
          <w:color w:val="auto"/>
        </w:rPr>
        <w:t xml:space="preserve">Support of </w:t>
      </w:r>
      <w:r>
        <w:rPr>
          <w:b/>
          <w:bCs/>
          <w:color w:val="auto"/>
        </w:rPr>
        <w:t>discontinuous coverage</w:t>
      </w:r>
      <w:r w:rsidRPr="004900DD">
        <w:rPr>
          <w:b/>
          <w:bCs/>
          <w:color w:val="auto"/>
        </w:rPr>
        <w:t xml:space="preserve"> for IoT NTN in 5GC</w:t>
      </w:r>
    </w:p>
    <w:p w14:paraId="19C56C7A" w14:textId="30A648C0" w:rsidR="00555073" w:rsidRPr="004900DD" w:rsidRDefault="00555073" w:rsidP="00555073">
      <w:pPr>
        <w:rPr>
          <w:b/>
          <w:bCs/>
          <w:color w:val="auto"/>
        </w:rPr>
      </w:pPr>
      <w:r>
        <w:rPr>
          <w:color w:val="auto"/>
        </w:rPr>
        <w:t>Discontinuous coverage concept is firstly proposed by IoT NTN and then such feature is mapped to NR NTN to optimize/enhance mobility management, paging procedure, power saving and etc</w:t>
      </w:r>
      <w:r w:rsidRPr="004900DD">
        <w:rPr>
          <w:color w:val="auto"/>
        </w:rPr>
        <w:t>.</w:t>
      </w:r>
      <w:r>
        <w:rPr>
          <w:color w:val="auto"/>
        </w:rPr>
        <w:t xml:space="preserve"> When accesses to 5GC, 5GC already has such capabilities to deal with discontinuous coverage. </w:t>
      </w:r>
    </w:p>
    <w:p w14:paraId="51AA7EFE" w14:textId="69E3FD60" w:rsidR="009B2B2B" w:rsidRPr="00EE7EE3" w:rsidRDefault="00555073" w:rsidP="00555073">
      <w:pPr>
        <w:rPr>
          <w:lang w:val="en-US" w:eastAsia="zh-CN"/>
        </w:rPr>
      </w:pPr>
      <w:r w:rsidRPr="004900DD">
        <w:rPr>
          <w:b/>
          <w:bCs/>
          <w:color w:val="auto"/>
          <w:u w:val="single"/>
        </w:rPr>
        <w:t xml:space="preserve">Observation </w:t>
      </w:r>
      <w:r>
        <w:rPr>
          <w:b/>
          <w:bCs/>
          <w:color w:val="auto"/>
          <w:u w:val="single"/>
        </w:rPr>
        <w:t>8</w:t>
      </w:r>
      <w:r w:rsidRPr="004900DD">
        <w:rPr>
          <w:b/>
          <w:bCs/>
          <w:color w:val="auto"/>
          <w:u w:val="single"/>
        </w:rPr>
        <w:t xml:space="preserve">: support of </w:t>
      </w:r>
      <w:r>
        <w:rPr>
          <w:b/>
          <w:bCs/>
          <w:color w:val="auto"/>
          <w:u w:val="single"/>
        </w:rPr>
        <w:t>discontinuous coverage</w:t>
      </w:r>
      <w:r w:rsidRPr="004900DD">
        <w:rPr>
          <w:b/>
          <w:bCs/>
          <w:color w:val="auto"/>
          <w:u w:val="single"/>
        </w:rPr>
        <w:t xml:space="preserve"> for </w:t>
      </w:r>
      <w:r>
        <w:rPr>
          <w:b/>
          <w:bCs/>
          <w:color w:val="auto"/>
          <w:u w:val="single"/>
        </w:rPr>
        <w:t>NR NTN</w:t>
      </w:r>
      <w:r w:rsidRPr="004900DD">
        <w:rPr>
          <w:b/>
          <w:bCs/>
          <w:color w:val="auto"/>
          <w:u w:val="single"/>
        </w:rPr>
        <w:t xml:space="preserve"> in 5GC can apply to IoT NTN in 5GC.</w:t>
      </w:r>
    </w:p>
    <w:p w14:paraId="27F318A6" w14:textId="0E64E083" w:rsidR="00EB6106" w:rsidRPr="00927C1B" w:rsidRDefault="00EB6106" w:rsidP="00EB6106">
      <w:pPr>
        <w:pStyle w:val="Heading1"/>
      </w:pPr>
      <w:r>
        <w:lastRenderedPageBreak/>
        <w:t>2</w:t>
      </w:r>
      <w:r w:rsidRPr="00927C1B">
        <w:t xml:space="preserve">. </w:t>
      </w:r>
      <w:r>
        <w:t>Proposal</w:t>
      </w:r>
    </w:p>
    <w:p w14:paraId="3DADC635" w14:textId="29BF5D38" w:rsidR="00E7280B" w:rsidRPr="001C16A0" w:rsidRDefault="00E7280B" w:rsidP="00E7280B">
      <w:r>
        <w:t xml:space="preserve">Based </w:t>
      </w:r>
      <w:r w:rsidRPr="001C16A0">
        <w:t xml:space="preserve">on the above observations, </w:t>
      </w:r>
      <w:bookmarkStart w:id="3" w:name="_Hlk149758005"/>
      <w:r w:rsidRPr="001C16A0">
        <w:t xml:space="preserve">it is proposed to </w:t>
      </w:r>
      <w:r>
        <w:t xml:space="preserve">proceed a </w:t>
      </w:r>
      <w:r w:rsidRPr="002E62E9">
        <w:rPr>
          <w:b/>
          <w:bCs/>
          <w:color w:val="FF0000"/>
        </w:rPr>
        <w:t>TEI</w:t>
      </w:r>
      <w:r w:rsidRPr="002E62E9">
        <w:rPr>
          <w:color w:val="FF0000"/>
        </w:rPr>
        <w:t xml:space="preserve"> </w:t>
      </w:r>
      <w:r>
        <w:t xml:space="preserve">to </w:t>
      </w:r>
      <w:r w:rsidRPr="001C16A0">
        <w:t xml:space="preserve">enable IoT NTN access 5GC with the following </w:t>
      </w:r>
      <w:r w:rsidRPr="00F7296A">
        <w:rPr>
          <w:b/>
          <w:bCs/>
        </w:rPr>
        <w:t>enhancement</w:t>
      </w:r>
      <w:r w:rsidR="00AC35C8">
        <w:rPr>
          <w:b/>
          <w:bCs/>
        </w:rPr>
        <w:t>s</w:t>
      </w:r>
      <w:r w:rsidRPr="001C16A0">
        <w:t>:</w:t>
      </w:r>
    </w:p>
    <w:p w14:paraId="4E99A576" w14:textId="2CD2E007" w:rsidR="00E7280B" w:rsidRDefault="00E7280B" w:rsidP="00E7280B">
      <w:pPr>
        <w:pStyle w:val="ListParagraph"/>
        <w:numPr>
          <w:ilvl w:val="0"/>
          <w:numId w:val="12"/>
        </w:numPr>
        <w:rPr>
          <w:b w:val="0"/>
          <w:bCs w:val="0"/>
          <w:color w:val="000000"/>
          <w:sz w:val="20"/>
          <w:szCs w:val="20"/>
          <w:u w:val="none"/>
          <w:lang w:val="en-GB" w:eastAsia="ja-JP"/>
        </w:rPr>
      </w:pPr>
      <w:r w:rsidRPr="00E7280B">
        <w:rPr>
          <w:b w:val="0"/>
          <w:bCs w:val="0"/>
          <w:color w:val="000000"/>
          <w:sz w:val="20"/>
          <w:szCs w:val="20"/>
          <w:u w:val="none"/>
          <w:lang w:val="en-GB" w:eastAsia="ja-JP"/>
        </w:rPr>
        <w:t xml:space="preserve">AMF needs to recognize </w:t>
      </w:r>
      <w:r>
        <w:rPr>
          <w:b w:val="0"/>
          <w:bCs w:val="0"/>
          <w:color w:val="000000"/>
          <w:sz w:val="20"/>
          <w:szCs w:val="20"/>
          <w:u w:val="none"/>
          <w:lang w:val="en-GB" w:eastAsia="ja-JP"/>
        </w:rPr>
        <w:t>new</w:t>
      </w:r>
      <w:r w:rsidRPr="00E7280B">
        <w:rPr>
          <w:b w:val="0"/>
          <w:bCs w:val="0"/>
          <w:color w:val="000000"/>
          <w:sz w:val="20"/>
          <w:szCs w:val="20"/>
          <w:u w:val="none"/>
          <w:lang w:val="en-GB" w:eastAsia="ja-JP"/>
        </w:rPr>
        <w:t xml:space="preserve"> E-UTRA (IoT NTN) RAT types transmitted by ng-</w:t>
      </w:r>
      <w:proofErr w:type="spellStart"/>
      <w:r w:rsidRPr="00E7280B">
        <w:rPr>
          <w:b w:val="0"/>
          <w:bCs w:val="0"/>
          <w:color w:val="000000"/>
          <w:sz w:val="20"/>
          <w:szCs w:val="20"/>
          <w:u w:val="none"/>
          <w:lang w:val="en-GB" w:eastAsia="ja-JP"/>
        </w:rPr>
        <w:t>eNB</w:t>
      </w:r>
      <w:proofErr w:type="spellEnd"/>
      <w:r w:rsidR="00AC35C8">
        <w:rPr>
          <w:b w:val="0"/>
          <w:bCs w:val="0"/>
          <w:color w:val="000000"/>
          <w:sz w:val="20"/>
          <w:szCs w:val="20"/>
          <w:u w:val="none"/>
          <w:lang w:val="en-GB" w:eastAsia="ja-JP"/>
        </w:rPr>
        <w:t xml:space="preserve"> for mobility restrictions (RAT restrictions) and policy control (QoS control, charging)</w:t>
      </w:r>
    </w:p>
    <w:p w14:paraId="06B5581E" w14:textId="7C5AD6A1" w:rsidR="00AC35C8" w:rsidRPr="00E7280B" w:rsidRDefault="00AC35C8" w:rsidP="007C76C6">
      <w:pPr>
        <w:pStyle w:val="ListParagraph"/>
        <w:numPr>
          <w:ilvl w:val="0"/>
          <w:numId w:val="12"/>
        </w:numPr>
        <w:spacing w:before="0" w:beforeAutospacing="0" w:after="0" w:afterAutospacing="0"/>
        <w:rPr>
          <w:b w:val="0"/>
          <w:bCs w:val="0"/>
          <w:color w:val="000000"/>
          <w:sz w:val="20"/>
          <w:szCs w:val="20"/>
          <w:u w:val="none"/>
          <w:lang w:val="en-GB" w:eastAsia="ja-JP"/>
        </w:rPr>
      </w:pPr>
      <w:r>
        <w:rPr>
          <w:b w:val="0"/>
          <w:bCs w:val="0"/>
          <w:color w:val="000000"/>
          <w:sz w:val="20"/>
          <w:szCs w:val="20"/>
          <w:u w:val="none"/>
          <w:lang w:val="en-GB" w:eastAsia="ja-JP"/>
        </w:rPr>
        <w:t>AMF does not support network-initiated location verification if RAT type is IoT NTN.</w:t>
      </w:r>
    </w:p>
    <w:p w14:paraId="469DCD2D" w14:textId="48071B6C" w:rsidR="00C42FE6" w:rsidRPr="00C42FE6" w:rsidRDefault="00C42FE6" w:rsidP="007C76C6">
      <w:pPr>
        <w:pStyle w:val="NO"/>
        <w:spacing w:after="0"/>
      </w:pPr>
      <w:r>
        <w:t xml:space="preserve">NOTE: </w:t>
      </w:r>
      <w:r w:rsidR="002E62E9">
        <w:tab/>
      </w:r>
      <w:r w:rsidRPr="00C42FE6">
        <w:t>If network verified UE location for IoT NTN is enhanced, this part will be aligned with RAN results</w:t>
      </w:r>
      <w:r>
        <w:t>.</w:t>
      </w:r>
    </w:p>
    <w:p w14:paraId="5286E62A" w14:textId="77777777" w:rsidR="007C76C6" w:rsidRDefault="007C76C6" w:rsidP="00E7280B"/>
    <w:p w14:paraId="776D8145" w14:textId="2CC9BDE6" w:rsidR="00E7280B" w:rsidRPr="001C16A0" w:rsidRDefault="00E7280B" w:rsidP="00E7280B">
      <w:r w:rsidRPr="001C16A0">
        <w:t xml:space="preserve">And the following </w:t>
      </w:r>
      <w:r w:rsidRPr="00E7280B">
        <w:rPr>
          <w:b/>
          <w:bCs/>
        </w:rPr>
        <w:t>alignments</w:t>
      </w:r>
      <w:r w:rsidRPr="001C16A0">
        <w:t>:</w:t>
      </w:r>
    </w:p>
    <w:p w14:paraId="3F05395D" w14:textId="6DE78A3A" w:rsidR="00E7280B" w:rsidRPr="00E7280B" w:rsidRDefault="00E7280B" w:rsidP="00E7280B">
      <w:pPr>
        <w:pStyle w:val="ListParagraph"/>
        <w:numPr>
          <w:ilvl w:val="0"/>
          <w:numId w:val="12"/>
        </w:numPr>
        <w:rPr>
          <w:b w:val="0"/>
          <w:bCs w:val="0"/>
          <w:color w:val="000000"/>
          <w:sz w:val="20"/>
          <w:szCs w:val="20"/>
          <w:u w:val="none"/>
          <w:lang w:val="en-GB" w:eastAsia="ja-JP"/>
        </w:rPr>
      </w:pPr>
      <w:r w:rsidRPr="00E7280B">
        <w:rPr>
          <w:b w:val="0"/>
          <w:bCs w:val="0"/>
          <w:color w:val="000000"/>
          <w:sz w:val="20"/>
          <w:szCs w:val="20"/>
          <w:u w:val="none"/>
          <w:lang w:val="en-GB" w:eastAsia="ja-JP"/>
        </w:rPr>
        <w:t xml:space="preserve">Support of </w:t>
      </w:r>
      <w:r w:rsidRPr="00C42FE6">
        <w:rPr>
          <w:b w:val="0"/>
          <w:bCs w:val="0"/>
          <w:color w:val="000000"/>
          <w:sz w:val="20"/>
          <w:szCs w:val="20"/>
          <w:lang w:val="en-GB" w:eastAsia="ja-JP"/>
        </w:rPr>
        <w:t>network selection</w:t>
      </w:r>
      <w:r w:rsidR="00C42FE6">
        <w:rPr>
          <w:b w:val="0"/>
          <w:bCs w:val="0"/>
          <w:color w:val="000000"/>
          <w:sz w:val="20"/>
          <w:szCs w:val="20"/>
          <w:u w:val="none"/>
          <w:lang w:val="en-GB" w:eastAsia="ja-JP"/>
        </w:rPr>
        <w:t xml:space="preserve"> </w:t>
      </w:r>
      <w:r w:rsidRPr="00E7280B">
        <w:rPr>
          <w:b w:val="0"/>
          <w:bCs w:val="0"/>
          <w:color w:val="000000"/>
          <w:sz w:val="20"/>
          <w:szCs w:val="20"/>
          <w:u w:val="none"/>
          <w:lang w:val="en-GB" w:eastAsia="ja-JP"/>
        </w:rPr>
        <w:t>for cellular IoT can apply to IoT NTN in 5GC.</w:t>
      </w:r>
    </w:p>
    <w:p w14:paraId="46768405" w14:textId="6F8D2F8F" w:rsidR="00E7280B" w:rsidRDefault="00E7280B" w:rsidP="00E7280B">
      <w:pPr>
        <w:pStyle w:val="ListParagraph"/>
        <w:numPr>
          <w:ilvl w:val="0"/>
          <w:numId w:val="12"/>
        </w:numPr>
        <w:rPr>
          <w:b w:val="0"/>
          <w:bCs w:val="0"/>
          <w:color w:val="000000"/>
          <w:sz w:val="20"/>
          <w:szCs w:val="20"/>
          <w:u w:val="none"/>
          <w:lang w:val="en-GB" w:eastAsia="ja-JP"/>
        </w:rPr>
      </w:pPr>
      <w:r w:rsidRPr="00E7280B">
        <w:rPr>
          <w:b w:val="0"/>
          <w:bCs w:val="0"/>
          <w:color w:val="000000"/>
          <w:sz w:val="20"/>
          <w:szCs w:val="20"/>
          <w:u w:val="none"/>
          <w:lang w:val="en-GB" w:eastAsia="ja-JP"/>
        </w:rPr>
        <w:t xml:space="preserve">Support of </w:t>
      </w:r>
      <w:r w:rsidRPr="00C42FE6">
        <w:rPr>
          <w:b w:val="0"/>
          <w:bCs w:val="0"/>
          <w:color w:val="000000"/>
          <w:sz w:val="20"/>
          <w:szCs w:val="20"/>
          <w:lang w:val="en-GB" w:eastAsia="ja-JP"/>
        </w:rPr>
        <w:t>tracking area handling</w:t>
      </w:r>
      <w:r w:rsidRPr="00E7280B">
        <w:rPr>
          <w:b w:val="0"/>
          <w:bCs w:val="0"/>
          <w:color w:val="000000"/>
          <w:sz w:val="20"/>
          <w:szCs w:val="20"/>
          <w:u w:val="none"/>
          <w:lang w:val="en-GB" w:eastAsia="ja-JP"/>
        </w:rPr>
        <w:t xml:space="preserve">, </w:t>
      </w:r>
      <w:r w:rsidRPr="00C42FE6">
        <w:rPr>
          <w:b w:val="0"/>
          <w:bCs w:val="0"/>
          <w:color w:val="000000"/>
          <w:sz w:val="20"/>
          <w:szCs w:val="20"/>
          <w:lang w:val="en-GB" w:eastAsia="ja-JP"/>
        </w:rPr>
        <w:t>mobility registration update</w:t>
      </w:r>
      <w:r w:rsidRPr="00E7280B">
        <w:rPr>
          <w:b w:val="0"/>
          <w:bCs w:val="0"/>
          <w:color w:val="000000"/>
          <w:sz w:val="20"/>
          <w:szCs w:val="20"/>
          <w:u w:val="none"/>
          <w:lang w:val="en-GB" w:eastAsia="ja-JP"/>
        </w:rPr>
        <w:t xml:space="preserve">, </w:t>
      </w:r>
      <w:r w:rsidR="007D20EE" w:rsidRPr="007D20EE">
        <w:rPr>
          <w:b w:val="0"/>
          <w:bCs w:val="0"/>
          <w:color w:val="000000"/>
          <w:sz w:val="20"/>
          <w:szCs w:val="20"/>
          <w:lang w:val="en-GB" w:eastAsia="ja-JP"/>
        </w:rPr>
        <w:t>mobility forbidden area</w:t>
      </w:r>
      <w:r w:rsidR="007D20EE">
        <w:rPr>
          <w:b w:val="0"/>
          <w:bCs w:val="0"/>
          <w:color w:val="000000"/>
          <w:sz w:val="20"/>
          <w:szCs w:val="20"/>
          <w:u w:val="none"/>
          <w:lang w:val="en-GB" w:eastAsia="ja-JP"/>
        </w:rPr>
        <w:t xml:space="preserve">, </w:t>
      </w:r>
      <w:r w:rsidRPr="00C42FE6">
        <w:rPr>
          <w:b w:val="0"/>
          <w:bCs w:val="0"/>
          <w:color w:val="000000"/>
          <w:sz w:val="20"/>
          <w:szCs w:val="20"/>
          <w:lang w:val="en-GB" w:eastAsia="ja-JP"/>
        </w:rPr>
        <w:t>service area restrictions</w:t>
      </w:r>
      <w:r w:rsidR="00C42FE6">
        <w:rPr>
          <w:b w:val="0"/>
          <w:bCs w:val="0"/>
          <w:color w:val="000000"/>
          <w:sz w:val="20"/>
          <w:szCs w:val="20"/>
          <w:u w:val="none"/>
          <w:lang w:val="en-GB" w:eastAsia="ja-JP"/>
        </w:rPr>
        <w:t xml:space="preserve">, </w:t>
      </w:r>
      <w:r w:rsidR="00C42FE6" w:rsidRPr="00C42FE6">
        <w:rPr>
          <w:b w:val="0"/>
          <w:bCs w:val="0"/>
          <w:color w:val="000000"/>
          <w:sz w:val="20"/>
          <w:szCs w:val="20"/>
          <w:lang w:val="en-GB" w:eastAsia="ja-JP"/>
        </w:rPr>
        <w:t>discontinuous coverage</w:t>
      </w:r>
      <w:r w:rsidRPr="00E7280B">
        <w:rPr>
          <w:b w:val="0"/>
          <w:bCs w:val="0"/>
          <w:color w:val="000000"/>
          <w:sz w:val="20"/>
          <w:szCs w:val="20"/>
          <w:u w:val="none"/>
          <w:lang w:val="en-GB" w:eastAsia="ja-JP"/>
        </w:rPr>
        <w:t xml:space="preserve"> for NR NTN can apply to IoT NTN in 5GC.</w:t>
      </w:r>
    </w:p>
    <w:bookmarkEnd w:id="3"/>
    <w:p w14:paraId="6E7F6A18" w14:textId="31057B9D" w:rsidR="004900DD" w:rsidRPr="004900DD" w:rsidRDefault="004900DD" w:rsidP="004900DD">
      <w:r>
        <w:t xml:space="preserve">The detailed justification can be </w:t>
      </w:r>
      <w:r w:rsidRPr="00BB661C">
        <w:t>found in S2-</w:t>
      </w:r>
      <w:r w:rsidR="00556ED1" w:rsidRPr="00BB661C">
        <w:t>2312210</w:t>
      </w:r>
      <w:r w:rsidRPr="00BB661C">
        <w:t>, and CRs in S2-23</w:t>
      </w:r>
      <w:r w:rsidR="00BB661C" w:rsidRPr="00BB661C">
        <w:t>12211</w:t>
      </w:r>
      <w:r w:rsidRPr="00BB661C">
        <w:t>, S2-23</w:t>
      </w:r>
      <w:r w:rsidR="00BB661C" w:rsidRPr="00BB661C">
        <w:t>12212</w:t>
      </w:r>
      <w:r w:rsidRPr="00BB661C">
        <w:t>, S2-23</w:t>
      </w:r>
      <w:r w:rsidR="00BB661C" w:rsidRPr="00BB661C">
        <w:t>12213</w:t>
      </w:r>
      <w:r w:rsidRPr="00BB661C">
        <w:t>.</w:t>
      </w:r>
    </w:p>
    <w:p w14:paraId="15E668AF" w14:textId="77777777" w:rsidR="00EB6106" w:rsidRPr="00BB661C" w:rsidRDefault="00EB6106" w:rsidP="001C4B93">
      <w:pPr>
        <w:rPr>
          <w:lang w:eastAsia="zh-CN"/>
        </w:rPr>
      </w:pPr>
    </w:p>
    <w:sectPr w:rsidR="00EB6106" w:rsidRPr="00BB661C"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02AD8" w14:textId="77777777" w:rsidR="009F759C" w:rsidRDefault="009F759C">
      <w:r>
        <w:separator/>
      </w:r>
    </w:p>
  </w:endnote>
  <w:endnote w:type="continuationSeparator" w:id="0">
    <w:p w14:paraId="36055181" w14:textId="77777777" w:rsidR="009F759C" w:rsidRDefault="009F7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99707" w14:textId="77777777" w:rsidR="009F759C" w:rsidRDefault="009F759C">
      <w:r>
        <w:separator/>
      </w:r>
    </w:p>
  </w:footnote>
  <w:footnote w:type="continuationSeparator" w:id="0">
    <w:p w14:paraId="3B178EC1" w14:textId="77777777" w:rsidR="009F759C" w:rsidRDefault="009F75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A60278"/>
    <w:multiLevelType w:val="hybridMultilevel"/>
    <w:tmpl w:val="849A95CE"/>
    <w:lvl w:ilvl="0" w:tplc="E1D8A5A0">
      <w:start w:val="2"/>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9F0C64"/>
    <w:multiLevelType w:val="hybridMultilevel"/>
    <w:tmpl w:val="FA1A45F0"/>
    <w:lvl w:ilvl="0" w:tplc="F6B8B3DE">
      <w:start w:val="2"/>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31E019DA"/>
    <w:multiLevelType w:val="hybridMultilevel"/>
    <w:tmpl w:val="DE3E7B30"/>
    <w:lvl w:ilvl="0" w:tplc="BF9443A8">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7589170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2475192">
    <w:abstractNumId w:val="10"/>
  </w:num>
  <w:num w:numId="3" w16cid:durableId="1090009873">
    <w:abstractNumId w:val="9"/>
  </w:num>
  <w:num w:numId="4" w16cid:durableId="2135364147">
    <w:abstractNumId w:val="8"/>
  </w:num>
  <w:num w:numId="5" w16cid:durableId="1898737933">
    <w:abstractNumId w:val="12"/>
  </w:num>
  <w:num w:numId="6" w16cid:durableId="2113815306">
    <w:abstractNumId w:val="11"/>
  </w:num>
  <w:num w:numId="7" w16cid:durableId="99877481">
    <w:abstractNumId w:val="5"/>
  </w:num>
  <w:num w:numId="8" w16cid:durableId="98066255">
    <w:abstractNumId w:val="2"/>
  </w:num>
  <w:num w:numId="9" w16cid:durableId="2131969407">
    <w:abstractNumId w:val="1"/>
  </w:num>
  <w:num w:numId="10" w16cid:durableId="80106721">
    <w:abstractNumId w:val="0"/>
  </w:num>
  <w:num w:numId="11" w16cid:durableId="879441219">
    <w:abstractNumId w:val="7"/>
  </w:num>
  <w:num w:numId="12" w16cid:durableId="1679964460">
    <w:abstractNumId w:val="6"/>
  </w:num>
  <w:num w:numId="13" w16cid:durableId="9996512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25D09"/>
    <w:rsid w:val="00025D0A"/>
    <w:rsid w:val="00031DAC"/>
    <w:rsid w:val="000341EC"/>
    <w:rsid w:val="00037C06"/>
    <w:rsid w:val="00040092"/>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3353"/>
    <w:rsid w:val="0007498D"/>
    <w:rsid w:val="000777EA"/>
    <w:rsid w:val="00082CCB"/>
    <w:rsid w:val="000852F8"/>
    <w:rsid w:val="00085954"/>
    <w:rsid w:val="000936BD"/>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3D83"/>
    <w:rsid w:val="00134A8E"/>
    <w:rsid w:val="00137077"/>
    <w:rsid w:val="001504BD"/>
    <w:rsid w:val="0015165C"/>
    <w:rsid w:val="0015750A"/>
    <w:rsid w:val="00162E10"/>
    <w:rsid w:val="00165B64"/>
    <w:rsid w:val="00171925"/>
    <w:rsid w:val="00173998"/>
    <w:rsid w:val="00174617"/>
    <w:rsid w:val="001759A7"/>
    <w:rsid w:val="0019168D"/>
    <w:rsid w:val="001A07F9"/>
    <w:rsid w:val="001A4192"/>
    <w:rsid w:val="001A7910"/>
    <w:rsid w:val="001B03CF"/>
    <w:rsid w:val="001B2F8C"/>
    <w:rsid w:val="001B3F31"/>
    <w:rsid w:val="001B79C9"/>
    <w:rsid w:val="001C4B93"/>
    <w:rsid w:val="001C5C86"/>
    <w:rsid w:val="001C718D"/>
    <w:rsid w:val="001D26A7"/>
    <w:rsid w:val="001D31FC"/>
    <w:rsid w:val="001D44B2"/>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373BF"/>
    <w:rsid w:val="00240DCD"/>
    <w:rsid w:val="0024367C"/>
    <w:rsid w:val="0024786B"/>
    <w:rsid w:val="00251D80"/>
    <w:rsid w:val="002534C1"/>
    <w:rsid w:val="00254FB5"/>
    <w:rsid w:val="002640E5"/>
    <w:rsid w:val="0026436F"/>
    <w:rsid w:val="002651D0"/>
    <w:rsid w:val="0026606E"/>
    <w:rsid w:val="00272736"/>
    <w:rsid w:val="00276403"/>
    <w:rsid w:val="00283472"/>
    <w:rsid w:val="00284D6F"/>
    <w:rsid w:val="00286EF5"/>
    <w:rsid w:val="002944FD"/>
    <w:rsid w:val="002C04BF"/>
    <w:rsid w:val="002C15A7"/>
    <w:rsid w:val="002C1C50"/>
    <w:rsid w:val="002C7607"/>
    <w:rsid w:val="002D14EA"/>
    <w:rsid w:val="002E62E9"/>
    <w:rsid w:val="002E6A7D"/>
    <w:rsid w:val="002E7A9E"/>
    <w:rsid w:val="002F3C41"/>
    <w:rsid w:val="002F57E5"/>
    <w:rsid w:val="002F6C5C"/>
    <w:rsid w:val="0030045C"/>
    <w:rsid w:val="00301F0C"/>
    <w:rsid w:val="00303944"/>
    <w:rsid w:val="00313242"/>
    <w:rsid w:val="003150CA"/>
    <w:rsid w:val="003205AD"/>
    <w:rsid w:val="00321FF1"/>
    <w:rsid w:val="0032203C"/>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1B15"/>
    <w:rsid w:val="0038516D"/>
    <w:rsid w:val="003869D7"/>
    <w:rsid w:val="00392C4D"/>
    <w:rsid w:val="003A08AA"/>
    <w:rsid w:val="003A1EB0"/>
    <w:rsid w:val="003B22E8"/>
    <w:rsid w:val="003C0F14"/>
    <w:rsid w:val="003C2DA6"/>
    <w:rsid w:val="003C418A"/>
    <w:rsid w:val="003C6DA6"/>
    <w:rsid w:val="003C6EB3"/>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4164"/>
    <w:rsid w:val="00415662"/>
    <w:rsid w:val="00417177"/>
    <w:rsid w:val="0041789B"/>
    <w:rsid w:val="004260A5"/>
    <w:rsid w:val="00432283"/>
    <w:rsid w:val="0043745F"/>
    <w:rsid w:val="00437A58"/>
    <w:rsid w:val="00437F58"/>
    <w:rsid w:val="0044029F"/>
    <w:rsid w:val="00440BC9"/>
    <w:rsid w:val="00454609"/>
    <w:rsid w:val="00455DE4"/>
    <w:rsid w:val="0046731C"/>
    <w:rsid w:val="0048267C"/>
    <w:rsid w:val="004876B9"/>
    <w:rsid w:val="004900DD"/>
    <w:rsid w:val="00493445"/>
    <w:rsid w:val="00493A79"/>
    <w:rsid w:val="00495840"/>
    <w:rsid w:val="004A40BE"/>
    <w:rsid w:val="004A6A60"/>
    <w:rsid w:val="004A77DD"/>
    <w:rsid w:val="004C3BD8"/>
    <w:rsid w:val="004C634D"/>
    <w:rsid w:val="004D24B9"/>
    <w:rsid w:val="004D2BA4"/>
    <w:rsid w:val="004D3CFB"/>
    <w:rsid w:val="004E05E1"/>
    <w:rsid w:val="004E2CE2"/>
    <w:rsid w:val="004E313F"/>
    <w:rsid w:val="004E5172"/>
    <w:rsid w:val="004E6F8A"/>
    <w:rsid w:val="004F1686"/>
    <w:rsid w:val="004F7CC0"/>
    <w:rsid w:val="004F7F0F"/>
    <w:rsid w:val="00502CD2"/>
    <w:rsid w:val="00503EE7"/>
    <w:rsid w:val="00504E33"/>
    <w:rsid w:val="00514EAA"/>
    <w:rsid w:val="005210CE"/>
    <w:rsid w:val="00530932"/>
    <w:rsid w:val="00533724"/>
    <w:rsid w:val="00533A63"/>
    <w:rsid w:val="0054287C"/>
    <w:rsid w:val="0054637E"/>
    <w:rsid w:val="0055216E"/>
    <w:rsid w:val="00552C2C"/>
    <w:rsid w:val="00552DAA"/>
    <w:rsid w:val="00555073"/>
    <w:rsid w:val="005555B7"/>
    <w:rsid w:val="00555BB6"/>
    <w:rsid w:val="005562A8"/>
    <w:rsid w:val="00556ED1"/>
    <w:rsid w:val="005573BB"/>
    <w:rsid w:val="00557B2E"/>
    <w:rsid w:val="00560C24"/>
    <w:rsid w:val="00561267"/>
    <w:rsid w:val="00571E3F"/>
    <w:rsid w:val="00574059"/>
    <w:rsid w:val="00586951"/>
    <w:rsid w:val="00590087"/>
    <w:rsid w:val="005A032D"/>
    <w:rsid w:val="005A0519"/>
    <w:rsid w:val="005A05E6"/>
    <w:rsid w:val="005A3D4D"/>
    <w:rsid w:val="005A5888"/>
    <w:rsid w:val="005A7577"/>
    <w:rsid w:val="005B0A86"/>
    <w:rsid w:val="005B5E49"/>
    <w:rsid w:val="005B6D21"/>
    <w:rsid w:val="005C29F7"/>
    <w:rsid w:val="005C4F58"/>
    <w:rsid w:val="005C50CB"/>
    <w:rsid w:val="005C5E8D"/>
    <w:rsid w:val="005C78F2"/>
    <w:rsid w:val="005D057C"/>
    <w:rsid w:val="005D3FEC"/>
    <w:rsid w:val="005D44BE"/>
    <w:rsid w:val="005D7E6B"/>
    <w:rsid w:val="005E088B"/>
    <w:rsid w:val="005E476A"/>
    <w:rsid w:val="00603CA1"/>
    <w:rsid w:val="00603E4C"/>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22E3"/>
    <w:rsid w:val="006A36D3"/>
    <w:rsid w:val="006A45BA"/>
    <w:rsid w:val="006A5607"/>
    <w:rsid w:val="006B17B0"/>
    <w:rsid w:val="006B34C4"/>
    <w:rsid w:val="006B4280"/>
    <w:rsid w:val="006B4B1C"/>
    <w:rsid w:val="006B6C49"/>
    <w:rsid w:val="006C0918"/>
    <w:rsid w:val="006C2E80"/>
    <w:rsid w:val="006C4991"/>
    <w:rsid w:val="006D6AD0"/>
    <w:rsid w:val="006E0F19"/>
    <w:rsid w:val="006E1FDA"/>
    <w:rsid w:val="006E2BE0"/>
    <w:rsid w:val="006E5E87"/>
    <w:rsid w:val="006E7195"/>
    <w:rsid w:val="006F0550"/>
    <w:rsid w:val="006F1A44"/>
    <w:rsid w:val="006F2BE0"/>
    <w:rsid w:val="00706A1A"/>
    <w:rsid w:val="00707673"/>
    <w:rsid w:val="00713334"/>
    <w:rsid w:val="007162BE"/>
    <w:rsid w:val="00721122"/>
    <w:rsid w:val="00722267"/>
    <w:rsid w:val="0072494A"/>
    <w:rsid w:val="00730B12"/>
    <w:rsid w:val="007335C7"/>
    <w:rsid w:val="00733DFA"/>
    <w:rsid w:val="00743E6E"/>
    <w:rsid w:val="00746F46"/>
    <w:rsid w:val="0075252A"/>
    <w:rsid w:val="0075584F"/>
    <w:rsid w:val="00756D28"/>
    <w:rsid w:val="00760EB8"/>
    <w:rsid w:val="00764B84"/>
    <w:rsid w:val="00765028"/>
    <w:rsid w:val="007768FB"/>
    <w:rsid w:val="0078034D"/>
    <w:rsid w:val="00790BCC"/>
    <w:rsid w:val="00795CEE"/>
    <w:rsid w:val="00796003"/>
    <w:rsid w:val="00796F94"/>
    <w:rsid w:val="007974F5"/>
    <w:rsid w:val="007A5AA5"/>
    <w:rsid w:val="007A6136"/>
    <w:rsid w:val="007A7F32"/>
    <w:rsid w:val="007B0CF1"/>
    <w:rsid w:val="007B0F49"/>
    <w:rsid w:val="007B29DB"/>
    <w:rsid w:val="007B43FD"/>
    <w:rsid w:val="007B4AE1"/>
    <w:rsid w:val="007C0183"/>
    <w:rsid w:val="007C033A"/>
    <w:rsid w:val="007C47B8"/>
    <w:rsid w:val="007C5D32"/>
    <w:rsid w:val="007C76C6"/>
    <w:rsid w:val="007C7E14"/>
    <w:rsid w:val="007D03D2"/>
    <w:rsid w:val="007D1AB2"/>
    <w:rsid w:val="007D20EE"/>
    <w:rsid w:val="007D36CF"/>
    <w:rsid w:val="007F054B"/>
    <w:rsid w:val="007F1F1C"/>
    <w:rsid w:val="007F522E"/>
    <w:rsid w:val="007F7421"/>
    <w:rsid w:val="00801F7F"/>
    <w:rsid w:val="0080428C"/>
    <w:rsid w:val="00804317"/>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60E5F"/>
    <w:rsid w:val="00863E89"/>
    <w:rsid w:val="00872B3B"/>
    <w:rsid w:val="00881C79"/>
    <w:rsid w:val="0088222A"/>
    <w:rsid w:val="0088274F"/>
    <w:rsid w:val="008835FC"/>
    <w:rsid w:val="00884778"/>
    <w:rsid w:val="00885711"/>
    <w:rsid w:val="008901F6"/>
    <w:rsid w:val="00891479"/>
    <w:rsid w:val="00896C03"/>
    <w:rsid w:val="008A495D"/>
    <w:rsid w:val="008A6010"/>
    <w:rsid w:val="008A76FD"/>
    <w:rsid w:val="008B0D86"/>
    <w:rsid w:val="008B114B"/>
    <w:rsid w:val="008B2D09"/>
    <w:rsid w:val="008B3C69"/>
    <w:rsid w:val="008B519F"/>
    <w:rsid w:val="008C0E78"/>
    <w:rsid w:val="008C1986"/>
    <w:rsid w:val="008C537F"/>
    <w:rsid w:val="008D15F9"/>
    <w:rsid w:val="008D658B"/>
    <w:rsid w:val="008E35B3"/>
    <w:rsid w:val="008E68F0"/>
    <w:rsid w:val="00920DE5"/>
    <w:rsid w:val="00922C8F"/>
    <w:rsid w:val="00922FCB"/>
    <w:rsid w:val="00935CB0"/>
    <w:rsid w:val="00936900"/>
    <w:rsid w:val="00937C6F"/>
    <w:rsid w:val="009421BD"/>
    <w:rsid w:val="009428A9"/>
    <w:rsid w:val="009437A2"/>
    <w:rsid w:val="00944B28"/>
    <w:rsid w:val="009513F5"/>
    <w:rsid w:val="00951F79"/>
    <w:rsid w:val="00953664"/>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2B2B"/>
    <w:rsid w:val="009B4168"/>
    <w:rsid w:val="009B493F"/>
    <w:rsid w:val="009C241D"/>
    <w:rsid w:val="009C2977"/>
    <w:rsid w:val="009C2DCC"/>
    <w:rsid w:val="009C7FA9"/>
    <w:rsid w:val="009E0467"/>
    <w:rsid w:val="009E2F2F"/>
    <w:rsid w:val="009E6786"/>
    <w:rsid w:val="009E6C21"/>
    <w:rsid w:val="009F759C"/>
    <w:rsid w:val="009F7959"/>
    <w:rsid w:val="009F7EA1"/>
    <w:rsid w:val="00A01CFF"/>
    <w:rsid w:val="00A06EE2"/>
    <w:rsid w:val="00A10539"/>
    <w:rsid w:val="00A119E3"/>
    <w:rsid w:val="00A15763"/>
    <w:rsid w:val="00A226C6"/>
    <w:rsid w:val="00A27912"/>
    <w:rsid w:val="00A316CF"/>
    <w:rsid w:val="00A3338D"/>
    <w:rsid w:val="00A338A3"/>
    <w:rsid w:val="00A339CF"/>
    <w:rsid w:val="00A35110"/>
    <w:rsid w:val="00A35F09"/>
    <w:rsid w:val="00A36378"/>
    <w:rsid w:val="00A40015"/>
    <w:rsid w:val="00A41167"/>
    <w:rsid w:val="00A41480"/>
    <w:rsid w:val="00A47445"/>
    <w:rsid w:val="00A51AE5"/>
    <w:rsid w:val="00A575BC"/>
    <w:rsid w:val="00A60101"/>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3D41"/>
    <w:rsid w:val="00AA47A3"/>
    <w:rsid w:val="00AB58BF"/>
    <w:rsid w:val="00AC35C8"/>
    <w:rsid w:val="00AC5A80"/>
    <w:rsid w:val="00AC65A2"/>
    <w:rsid w:val="00AC6AE6"/>
    <w:rsid w:val="00AD0751"/>
    <w:rsid w:val="00AD0CB0"/>
    <w:rsid w:val="00AD2837"/>
    <w:rsid w:val="00AD77C4"/>
    <w:rsid w:val="00AE25BF"/>
    <w:rsid w:val="00AE3C6C"/>
    <w:rsid w:val="00AE3E08"/>
    <w:rsid w:val="00AE4DC9"/>
    <w:rsid w:val="00AE5A3F"/>
    <w:rsid w:val="00AE6B87"/>
    <w:rsid w:val="00AF0C13"/>
    <w:rsid w:val="00AF1E67"/>
    <w:rsid w:val="00B03AF5"/>
    <w:rsid w:val="00B03C01"/>
    <w:rsid w:val="00B03EFD"/>
    <w:rsid w:val="00B078D6"/>
    <w:rsid w:val="00B1248D"/>
    <w:rsid w:val="00B14709"/>
    <w:rsid w:val="00B15DBD"/>
    <w:rsid w:val="00B2743D"/>
    <w:rsid w:val="00B3015C"/>
    <w:rsid w:val="00B31093"/>
    <w:rsid w:val="00B344D8"/>
    <w:rsid w:val="00B37AD5"/>
    <w:rsid w:val="00B4257D"/>
    <w:rsid w:val="00B567D1"/>
    <w:rsid w:val="00B570EB"/>
    <w:rsid w:val="00B7040B"/>
    <w:rsid w:val="00B73B4C"/>
    <w:rsid w:val="00B73D56"/>
    <w:rsid w:val="00B73F75"/>
    <w:rsid w:val="00B77182"/>
    <w:rsid w:val="00B7732A"/>
    <w:rsid w:val="00B8008C"/>
    <w:rsid w:val="00B83F36"/>
    <w:rsid w:val="00B8483E"/>
    <w:rsid w:val="00B84958"/>
    <w:rsid w:val="00B9184C"/>
    <w:rsid w:val="00B946CD"/>
    <w:rsid w:val="00B96481"/>
    <w:rsid w:val="00B9686F"/>
    <w:rsid w:val="00BA1AAC"/>
    <w:rsid w:val="00BA2CA6"/>
    <w:rsid w:val="00BA3A53"/>
    <w:rsid w:val="00BA3C54"/>
    <w:rsid w:val="00BA4095"/>
    <w:rsid w:val="00BA5B43"/>
    <w:rsid w:val="00BB4560"/>
    <w:rsid w:val="00BB5EBF"/>
    <w:rsid w:val="00BB661C"/>
    <w:rsid w:val="00BC07EF"/>
    <w:rsid w:val="00BC642A"/>
    <w:rsid w:val="00BD2D0D"/>
    <w:rsid w:val="00BD6E1A"/>
    <w:rsid w:val="00BF537E"/>
    <w:rsid w:val="00BF7C9D"/>
    <w:rsid w:val="00C01E8C"/>
    <w:rsid w:val="00C02DF6"/>
    <w:rsid w:val="00C03E01"/>
    <w:rsid w:val="00C1261D"/>
    <w:rsid w:val="00C14153"/>
    <w:rsid w:val="00C1507B"/>
    <w:rsid w:val="00C23582"/>
    <w:rsid w:val="00C23FA4"/>
    <w:rsid w:val="00C2724D"/>
    <w:rsid w:val="00C27CA9"/>
    <w:rsid w:val="00C317E7"/>
    <w:rsid w:val="00C344BC"/>
    <w:rsid w:val="00C3799C"/>
    <w:rsid w:val="00C40902"/>
    <w:rsid w:val="00C42FE6"/>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B0647"/>
    <w:rsid w:val="00CB0F3C"/>
    <w:rsid w:val="00CB4236"/>
    <w:rsid w:val="00CC0129"/>
    <w:rsid w:val="00CC517A"/>
    <w:rsid w:val="00CC5424"/>
    <w:rsid w:val="00CC72A4"/>
    <w:rsid w:val="00CD3153"/>
    <w:rsid w:val="00CF5544"/>
    <w:rsid w:val="00CF67E9"/>
    <w:rsid w:val="00CF6810"/>
    <w:rsid w:val="00CF7C0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5C40"/>
    <w:rsid w:val="00D87E47"/>
    <w:rsid w:val="00D94917"/>
    <w:rsid w:val="00D95565"/>
    <w:rsid w:val="00D96330"/>
    <w:rsid w:val="00DA74F3"/>
    <w:rsid w:val="00DB69F3"/>
    <w:rsid w:val="00DC0CA8"/>
    <w:rsid w:val="00DC4907"/>
    <w:rsid w:val="00DD017C"/>
    <w:rsid w:val="00DD397A"/>
    <w:rsid w:val="00DD58B7"/>
    <w:rsid w:val="00DD6699"/>
    <w:rsid w:val="00DE200A"/>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18DE"/>
    <w:rsid w:val="00E52C57"/>
    <w:rsid w:val="00E54D16"/>
    <w:rsid w:val="00E55AB7"/>
    <w:rsid w:val="00E565EB"/>
    <w:rsid w:val="00E57D43"/>
    <w:rsid w:val="00E57E7D"/>
    <w:rsid w:val="00E7008C"/>
    <w:rsid w:val="00E70A72"/>
    <w:rsid w:val="00E70C9C"/>
    <w:rsid w:val="00E7280B"/>
    <w:rsid w:val="00E84CD8"/>
    <w:rsid w:val="00E90B85"/>
    <w:rsid w:val="00E91679"/>
    <w:rsid w:val="00E92350"/>
    <w:rsid w:val="00E92452"/>
    <w:rsid w:val="00E92601"/>
    <w:rsid w:val="00E94CC1"/>
    <w:rsid w:val="00E9590B"/>
    <w:rsid w:val="00E96431"/>
    <w:rsid w:val="00EA1B77"/>
    <w:rsid w:val="00EA2E8F"/>
    <w:rsid w:val="00EA7BA4"/>
    <w:rsid w:val="00EB17C7"/>
    <w:rsid w:val="00EB18D7"/>
    <w:rsid w:val="00EB2729"/>
    <w:rsid w:val="00EB6106"/>
    <w:rsid w:val="00EC3039"/>
    <w:rsid w:val="00EC5235"/>
    <w:rsid w:val="00ED51A4"/>
    <w:rsid w:val="00ED6B03"/>
    <w:rsid w:val="00ED7A5B"/>
    <w:rsid w:val="00EE17DA"/>
    <w:rsid w:val="00EE7EE3"/>
    <w:rsid w:val="00EF0905"/>
    <w:rsid w:val="00EF0D53"/>
    <w:rsid w:val="00F0263B"/>
    <w:rsid w:val="00F07C92"/>
    <w:rsid w:val="00F127D2"/>
    <w:rsid w:val="00F138AB"/>
    <w:rsid w:val="00F14B43"/>
    <w:rsid w:val="00F203C7"/>
    <w:rsid w:val="00F215E2"/>
    <w:rsid w:val="00F21E3F"/>
    <w:rsid w:val="00F23FE4"/>
    <w:rsid w:val="00F41A27"/>
    <w:rsid w:val="00F4338D"/>
    <w:rsid w:val="00F436EF"/>
    <w:rsid w:val="00F439E6"/>
    <w:rsid w:val="00F440D3"/>
    <w:rsid w:val="00F446AC"/>
    <w:rsid w:val="00F45549"/>
    <w:rsid w:val="00F46EAF"/>
    <w:rsid w:val="00F5312B"/>
    <w:rsid w:val="00F53B34"/>
    <w:rsid w:val="00F5774F"/>
    <w:rsid w:val="00F57FE6"/>
    <w:rsid w:val="00F62688"/>
    <w:rsid w:val="00F642EA"/>
    <w:rsid w:val="00F650D0"/>
    <w:rsid w:val="00F678E6"/>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3B6D"/>
    <w:rsid w:val="00FD1B83"/>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485B7E"/>
  <w15:docId w15:val="{381DEA05-C728-45C1-9A97-717B2DFF9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555073"/>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rsid w:val="00AE5A3F"/>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sid w:val="00AE5A3F"/>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DocumentMap">
    <w:name w:val="Document Map"/>
    <w:basedOn w:val="Normal"/>
    <w:link w:val="DocumentMapChar"/>
    <w:rsid w:val="002C15A7"/>
    <w:rPr>
      <w:rFonts w:ascii="宋体" w:eastAsia="宋体"/>
      <w:sz w:val="18"/>
      <w:szCs w:val="18"/>
    </w:rPr>
  </w:style>
  <w:style w:type="character" w:customStyle="1" w:styleId="DocumentMapChar">
    <w:name w:val="Document Map Char"/>
    <w:basedOn w:val="DefaultParagraphFont"/>
    <w:link w:val="DocumentMap"/>
    <w:rsid w:val="002C15A7"/>
    <w:rPr>
      <w:rFonts w:ascii="宋体" w:eastAsia="宋体"/>
      <w:color w:val="000000"/>
      <w:sz w:val="18"/>
      <w:szCs w:val="18"/>
      <w:lang w:eastAsia="ja-JP"/>
    </w:rPr>
  </w:style>
  <w:style w:type="paragraph" w:styleId="BalloonText">
    <w:name w:val="Balloon Text"/>
    <w:basedOn w:val="Normal"/>
    <w:link w:val="BalloonTextChar"/>
    <w:rsid w:val="002C15A7"/>
    <w:pPr>
      <w:spacing w:after="0"/>
    </w:pPr>
    <w:rPr>
      <w:sz w:val="18"/>
      <w:szCs w:val="18"/>
    </w:rPr>
  </w:style>
  <w:style w:type="character" w:customStyle="1" w:styleId="BalloonTextChar">
    <w:name w:val="Balloon Text Char"/>
    <w:basedOn w:val="DefaultParagraphFont"/>
    <w:link w:val="BalloonText"/>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Hyperlink">
    <w:name w:val="Hyperlink"/>
    <w:rsid w:val="00F8429B"/>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C4B93"/>
    <w:rPr>
      <w:rFonts w:ascii="Arial" w:hAnsi="Arial"/>
      <w:b/>
      <w:noProof/>
      <w:sz w:val="18"/>
      <w:lang w:eastAsia="ja-JP"/>
    </w:rPr>
  </w:style>
  <w:style w:type="paragraph" w:customStyle="1" w:styleId="tah0">
    <w:name w:val="tah"/>
    <w:basedOn w:val="Normal"/>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character" w:customStyle="1" w:styleId="NOZchn">
    <w:name w:val="NO Zchn"/>
    <w:link w:val="NO"/>
    <w:locked/>
    <w:rsid w:val="006F2BE0"/>
    <w:rPr>
      <w:color w:val="000000"/>
      <w:lang w:eastAsia="ja-JP"/>
    </w:rPr>
  </w:style>
  <w:style w:type="paragraph" w:styleId="ListParagraph">
    <w:name w:val="List Paragraph"/>
    <w:basedOn w:val="Normal"/>
    <w:link w:val="ListParagraphChar"/>
    <w:uiPriority w:val="34"/>
    <w:qFormat/>
    <w:rsid w:val="007C5D32"/>
    <w:pPr>
      <w:overflowPunct/>
      <w:autoSpaceDE/>
      <w:autoSpaceDN/>
      <w:adjustRightInd/>
      <w:spacing w:before="100" w:beforeAutospacing="1" w:after="100" w:afterAutospacing="1"/>
      <w:textAlignment w:val="auto"/>
    </w:pPr>
    <w:rPr>
      <w:b/>
      <w:bCs/>
      <w:color w:val="auto"/>
      <w:sz w:val="24"/>
      <w:szCs w:val="24"/>
      <w:u w:val="single"/>
      <w:lang w:val="en-US" w:eastAsia="en-US"/>
    </w:rPr>
  </w:style>
  <w:style w:type="character" w:customStyle="1" w:styleId="ListParagraphChar">
    <w:name w:val="List Paragraph Char"/>
    <w:link w:val="ListParagraph"/>
    <w:uiPriority w:val="34"/>
    <w:locked/>
    <w:rsid w:val="007C5D32"/>
    <w:rPr>
      <w:b/>
      <w:bCs/>
      <w:sz w:val="24"/>
      <w:szCs w:val="24"/>
      <w:u w:val="single"/>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61591">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7257764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5176849">
      <w:bodyDiv w:val="1"/>
      <w:marLeft w:val="0"/>
      <w:marRight w:val="0"/>
      <w:marTop w:val="0"/>
      <w:marBottom w:val="0"/>
      <w:divBdr>
        <w:top w:val="none" w:sz="0" w:space="0" w:color="auto"/>
        <w:left w:val="none" w:sz="0" w:space="0" w:color="auto"/>
        <w:bottom w:val="none" w:sz="0" w:space="0" w:color="auto"/>
        <w:right w:val="none" w:sz="0" w:space="0" w:color="auto"/>
      </w:divBdr>
    </w:div>
    <w:div w:id="947784609">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1169280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 w:id="211625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7D169F-A141-4D28-8943-E3D5F41D9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1</Pages>
  <Words>1118</Words>
  <Characters>6377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7481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vivo2</cp:lastModifiedBy>
  <cp:revision>46</cp:revision>
  <cp:lastPrinted>2000-02-29T11:31:00Z</cp:lastPrinted>
  <dcterms:created xsi:type="dcterms:W3CDTF">2022-01-26T09:53:00Z</dcterms:created>
  <dcterms:modified xsi:type="dcterms:W3CDTF">2023-11-03T12:13:00Z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55d63fa78eb8b3000954d2e571ce3035baa97987f2a1e8705393ae59697e466d</vt:lpwstr>
  </property>
</Properties>
</file>